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  <w:sz w:val="30"/>
          <w:szCs w:val="30"/>
        </w:rPr>
        <w:t xml:space="preserve">TRIPOD+AI Checklist</w:t>
      </w:r>
    </w:p>
    <w:p>
      <w:pPr>
        <w:spacing w:after="60"/>
      </w:pPr>
      <w:r>
        <w:rPr>
          <w:b/>
          <w:bCs/>
          <w:sz w:val="20"/>
          <w:szCs w:val="20"/>
        </w:rPr>
        <w:t xml:space="preserve">Manuscript: </w:t>
      </w:r>
      <w:r>
        <w:rPr>
          <w:i/>
          <w:iCs/>
          <w:sz w:val="20"/>
          <w:szCs w:val="20"/>
        </w:rPr>
        <w:t xml:space="preserve">Image-only ultrasound AI for dating-independent delivery-date prediction externally validated in four Chilean hospitals</w:t>
      </w:r>
    </w:p>
    <w:p>
      <w:pPr>
        <w:spacing w:after="60"/>
      </w:pPr>
      <w:r>
        <w:rPr>
          <w:sz w:val="18"/>
          <w:szCs w:val="18"/>
        </w:rPr>
        <w:t xml:space="preserve">This study is an external validation (evaluation) of an existing, prospectively deployed prediction model. Items that apply only to model development (TRIPOD+AI “D” items) are marked “N/A” and are reported in the original development study; evaluation (E) and shared (D;E) items are completed below. Locations refer to sections of the manuscript.</w:t>
      </w:r>
    </w:p>
    <w:p>
      <w:pPr>
        <w:spacing w:after="160"/>
      </w:pPr>
      <w:r>
        <w:rPr>
          <w:b/>
          <w:bCs/>
          <w:sz w:val="18"/>
          <w:szCs w:val="18"/>
        </w:rPr>
        <w:t xml:space="preserve">Reporting guideline: </w:t>
      </w:r>
      <w:r>
        <w:rPr>
          <w:sz w:val="18"/>
          <w:szCs w:val="18"/>
        </w:rPr>
        <w:t xml:space="preserve">Collins, G. S. et al. TRIPOD+AI statement. </w:t>
      </w:r>
      <w:r>
        <w:rPr>
          <w:i/>
          <w:iCs/>
          <w:sz w:val="18"/>
          <w:szCs w:val="18"/>
        </w:rPr>
        <w:t xml:space="preserve">BMJ</w:t>
      </w:r>
      <w:r>
        <w:rPr>
          <w:sz w:val="18"/>
          <w:szCs w:val="18"/>
        </w:rPr>
        <w:t xml:space="preserve"> 385, e078378 (2024). https://doi.org/10.1136/bmj-2023-078378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50"/>
        <w:gridCol w:w="5510"/>
        <w:gridCol w:w="2700"/>
      </w:tblGrid>
      <w:tr>
        <w:trPr>
          <w:tblHeader/>
        </w:trP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0B5394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Section / Item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0B5394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Checklist item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0B5394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Location in manuscript</w:t>
            </w:r>
          </w:p>
        </w:tc>
      </w:tr>
      <w:tr>
        <w:tc>
          <w:tcPr>
            <w:gridSpan w:val="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TITLE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1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Identify the study as developing or evaluating a prediction model, the target population, and the outcome.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Title</w:t>
            </w:r>
          </w:p>
        </w:tc>
      </w:tr>
      <w:tr>
        <w:tc>
          <w:tcPr>
            <w:gridSpan w:val="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ABSTRACT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Provide a structured summary (TRIPOD+AI for Abstracts).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Abstract</w:t>
            </w:r>
          </w:p>
        </w:tc>
      </w:tr>
      <w:tr>
        <w:tc>
          <w:tcPr>
            <w:gridSpan w:val="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INTRODUCTION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3a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Healthcare context and rationale, with references to existing models.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Introduction (cites the development study, Patel et al.⁸, and dating guidelines)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3b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Target population and intended purpose in the care pathway, including intended users.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Introduction; Discussion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3c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Known health inequalities between sociodemographic groups.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Introduction (late-presenting, public-sector and migrant populations); Discussion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4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Study objectives, stating development or validation (or both).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Introduction (final paragraph) — prespecified external validation</w:t>
            </w:r>
          </w:p>
        </w:tc>
      </w:tr>
      <w:tr>
        <w:tc>
          <w:tcPr>
            <w:gridSpan w:val="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METHODS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5a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Sources of data (development and evaluation), rationale, representativeness.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Methods — Study design and data sources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5b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Dates of participant data (accrual start/end; end of follow-up).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Methods — Study design (March 2021–November 2025)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6a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Study setting, including number and location of centres.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Methods — Setting (four Chilean public hospitals)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6b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Eligibility criteria for participants.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Methods — Participants and eligibility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6c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Treatments received and how handled, if relevant.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Methods — Outcomes and subgroups (spontaneous vs iatrogenic onset)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7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Data pre-processing and quality checking, including across sociodemographic groups.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Methods — Data sources and processing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8a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Define the outcome and time horizon, how/when assessed, rationale, consistency.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Methods — Outcome (days from scan to delivery; registry-confirmed)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8b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Qualifications/characteristics of outcome assessors (if subjective).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/>
                <w:iCs/>
                <w:color w:val="808080"/>
                <w:sz w:val="18"/>
                <w:szCs w:val="18"/>
              </w:rPr>
              <w:t xml:space="preserve">N/A — delivery date is an objective, registry-recorded event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8c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Actions to blind assessment of the outcome.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Methods — Index test (image-only input; no access to the outcome)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9a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Choice of initial predictors and any pre-selection (development).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/>
                <w:iCs/>
                <w:color w:val="808080"/>
                <w:sz w:val="18"/>
                <w:szCs w:val="18"/>
              </w:rPr>
              <w:t xml:space="preserve">N/A — external validation; model features are internal to the proprietary model (Patel et al.⁸)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9b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Define all predictors, how/when measured, and blinding.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Methods — Index test (input is ultrasound frames only; no biometry, gestational age, or demographics)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9c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Qualifications/characteristics of predictor assessors (if subjective).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Methods — Index test (standard clinical image acquisition by sonographers)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10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How study size was reached and justification.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Methods — Statistical analysis (all consecutive eligible studies)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11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How missing data were handled; reasons for omitting data.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Methods — Participants (exclusions for incomplete data) and Statistical analysis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12a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How data were used/partitioned in the analysis (development).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/>
                <w:iCs/>
                <w:color w:val="808080"/>
                <w:sz w:val="18"/>
                <w:szCs w:val="18"/>
              </w:rPr>
              <w:t xml:space="preserve">N/A — external validation; no model development or data partitioning here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12b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How predictors were handled (functional form, transformation) (development).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/>
                <w:iCs/>
                <w:color w:val="808080"/>
                <w:sz w:val="18"/>
                <w:szCs w:val="18"/>
              </w:rPr>
              <w:t xml:space="preserve">N/A — external validation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12c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Type of model, model-building steps, internal validation (development).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/>
                <w:iCs/>
                <w:color w:val="808080"/>
                <w:sz w:val="18"/>
                <w:szCs w:val="18"/>
              </w:rPr>
              <w:t xml:space="preserve">N/A — architecture and training reported in Patel et al.⁸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12d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Heterogeneity in parameters/performance across clusters.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Methods — Statistical analysis (pregnancy-clustered bootstrap; by-site analysis)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12e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Measures and plots used to evaluate performance and compare models.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Methods — Statistical analysis (MAE, within-window accuracy, calibration, Bland–Altman)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12f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Any model updating (recalibration) at evaluation.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/>
                <w:iCs/>
                <w:color w:val="808080"/>
                <w:sz w:val="18"/>
                <w:szCs w:val="18"/>
              </w:rPr>
              <w:t xml:space="preserve">N/A — model evaluated as deployed; no updating or recalibration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12g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How predictions were calculated for evaluation (formula, code, API).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Methods — Index test (predictions produced by the deployed model from frames; access in Code availability)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13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Class-imbalance methods, if used.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/>
                <w:iCs/>
                <w:color w:val="808080"/>
                <w:sz w:val="18"/>
                <w:szCs w:val="18"/>
              </w:rPr>
              <w:t xml:space="preserve">N/A — continuous days-to-delivery outcome; no class-imbalance resampling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14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Approaches used to address fairness and their rationale.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Methods — Subgroups; Results — Transportability (site, dating certainty, comorbidity); Discussion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15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Model output and any thresholds (development).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Methods — Index test (continuous days-to-delivery with quantile prediction intervals)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16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Differences between development and evaluation data.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Methods — Study design (geographically and temporally distinct from the development cohort); Discussion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17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Ethics committee approval and informed consent or waiver.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Methods — Ethics statement</w:t>
            </w:r>
          </w:p>
        </w:tc>
      </w:tr>
      <w:tr>
        <w:tc>
          <w:tcPr>
            <w:gridSpan w:val="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OPEN SCIENCE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18a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Source of funding and role of funders.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Acknowledgements (funding statement)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18b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Conflicts of interest and financial disclosures for all authors.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Competing interests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18c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Where the study protocol can be accessed, or that none was prepared.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Methods — Ethics statement (institutional protocol numbers); no separate public protocol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18d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Registration information, or that the study was not registered.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Not registered (retrospective, observational external validation)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18e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Availability of the study data.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Data availability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18f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Availability of the analytical code.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Code availability</w:t>
            </w:r>
          </w:p>
        </w:tc>
      </w:tr>
      <w:tr>
        <w:tc>
          <w:tcPr>
            <w:gridSpan w:val="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PATIENT &amp; PUBLIC INVOLVEMENT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19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Any patient and public involvement, or state none.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/>
                <w:iCs/>
                <w:color w:val="808080"/>
                <w:sz w:val="18"/>
                <w:szCs w:val="18"/>
              </w:rPr>
              <w:t xml:space="preserve">N/A — no formal patient or public involvement in this retrospective validation</w:t>
            </w:r>
          </w:p>
        </w:tc>
      </w:tr>
      <w:tr>
        <w:tc>
          <w:tcPr>
            <w:gridSpan w:val="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RESULTS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20a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Flow of participants, with and without the outcome; a diagram may help.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Results — Study population; Figure 1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20b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Characteristics overall and by source/setting; differences across groups.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Results — Study population; Table 1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20c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For evaluation, comparison with the development data distribution.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Discussion (comparison with the development population in Patel et al.⁸)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21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Number of participants and outcome events in each analysis.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Results — Study population; Tables 1–3 (n per analysis and subgroup)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22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Full model details to enable third-party use (development).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/>
                <w:iCs/>
                <w:color w:val="808080"/>
                <w:sz w:val="18"/>
                <w:szCs w:val="18"/>
              </w:rPr>
              <w:t xml:space="preserve">N/A — proprietary model; access conditions in Code availability and Patel et al.⁸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23a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Performance estimates with confidence intervals, including subgroups; plots.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Results — Accuracy, Calibration, Transportability; Tables 2–3; Figures 2–5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23b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Heterogeneity in model performance across clusters.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Results — Transportability (Figure 5); Methods (cluster bootstrap)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24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Results of any model updating (evaluation).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/>
                <w:iCs/>
                <w:color w:val="808080"/>
                <w:sz w:val="18"/>
                <w:szCs w:val="18"/>
              </w:rPr>
              <w:t xml:space="preserve">N/A — no model updating performed</w:t>
            </w:r>
          </w:p>
        </w:tc>
      </w:tr>
      <w:tr>
        <w:tc>
          <w:tcPr>
            <w:gridSpan w:val="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DISCUSSION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25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Overall interpretation, including fairness, vs objectives and prior studies.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Discussion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26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Limitations and their effects on bias, uncertainty, generalisability.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Discussion (limitations)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27a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How poor-quality or unavailable input data should be handled at implementation.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Discussion (deployment considerations)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27b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Whether users must interact with the input/model and expertise required.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Discussion (image-only workflow; minimal user input)</w:t>
            </w:r>
          </w:p>
        </w:tc>
      </w:tr>
      <w:tr>
        <w:tc>
          <w:tcPr>
            <w:tcW w:type="dxa" w:w="11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27c</w:t>
            </w:r>
          </w:p>
        </w:tc>
        <w:tc>
          <w:tcPr>
            <w:tcW w:type="dxa" w:w="551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sz w:val="18"/>
                <w:szCs w:val="18"/>
              </w:rPr>
              <w:t xml:space="preserve">Next steps for future research, applicability and generalisability.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 w:before="0"/>
            </w:pPr>
            <w:r>
              <w:rPr>
                <w:i w:val="false"/>
                <w:iCs w:val="false"/>
                <w:color w:val="000000"/>
                <w:sz w:val="18"/>
                <w:szCs w:val="18"/>
              </w:rPr>
              <w:t xml:space="preserve">Discussion (future research)</w:t>
            </w:r>
          </w:p>
        </w:tc>
      </w:tr>
    </w:tbl>
    <w:p>
      <w:pPr>
        <w:spacing w:before="120"/>
      </w:pPr>
      <w:r>
        <w:t xml:space="preserve"/>
      </w:r>
    </w:p>
    <w:p>
      <w:pPr>
        <w:spacing w:after="0" w:before="0"/>
      </w:pPr>
      <w:r>
        <w:rPr>
          <w:b/>
          <w:bCs/>
          <w:sz w:val="16"/>
          <w:szCs w:val="16"/>
        </w:rPr>
        <w:t xml:space="preserve">D</w:t>
      </w:r>
      <w:r>
        <w:rPr>
          <w:sz w:val="16"/>
          <w:szCs w:val="16"/>
        </w:rPr>
        <w:t xml:space="preserve"> = development-only item;  </w:t>
      </w:r>
      <w:r>
        <w:rPr>
          <w:b/>
          <w:bCs/>
          <w:sz w:val="16"/>
          <w:szCs w:val="16"/>
        </w:rPr>
        <w:t xml:space="preserve">E</w:t>
      </w:r>
      <w:r>
        <w:rPr>
          <w:sz w:val="16"/>
          <w:szCs w:val="16"/>
        </w:rPr>
        <w:t xml:space="preserve"> = evaluation-only item;  </w:t>
      </w:r>
      <w:r>
        <w:rPr>
          <w:b/>
          <w:bCs/>
          <w:sz w:val="16"/>
          <w:szCs w:val="16"/>
        </w:rPr>
        <w:t xml:space="preserve">D;E</w:t>
      </w:r>
      <w:r>
        <w:rPr>
          <w:sz w:val="16"/>
          <w:szCs w:val="16"/>
        </w:rPr>
        <w:t xml:space="preserve"> = applies to both (per Collins et al., 2024).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0"/>
      <w:outlineLvl w:val="0"/>
    </w:pPr>
    <w:rPr>
      <w:rFonts w:ascii="Arial" w:cs="Arial" w:eastAsia="Arial" w:hAnsi="Arial"/>
      <w:b/>
      <w:bCs/>
      <w:sz w:val="30"/>
      <w:szCs w:val="3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2026-06-10T15:05:44.917Z</dcterms:created>
  <dcterms:modified xsi:type="dcterms:W3CDTF">2026-06-10T15:05:44.928Z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