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t xml:space="preserve">Supplementary Information</w:t>
      </w:r>
    </w:p>
    <w:p>
      <w:pPr>
        <w:pStyle w:val="BodyText"/>
      </w:pPr>
      <w:r>
        <w:rPr>
          <w:bCs/>
          <w:b/>
        </w:rPr>
        <w:t xml:space="preserve">Supplementary Table S1 | Robustness of the AI-versus-conventional comparison (sensitivity analyses).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MAE,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Conventional MAE,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Difference,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lower, 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Spontaneous-onset deliveries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– Spontaneous + reliable dating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1,795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−4.7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– Spontaneous + uncertain dating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−8.6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Iatrogenic-onset deliveries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1,716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vs bias-corrected (oracle) conventional (e)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−0.7 (P=0.19)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Spontaneous vs bias-corrected (oracle) conventional (e)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−1.9 (P&lt;0.001)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54.3</w:t>
            </w:r>
          </w:p>
        </w:tc>
      </w:tr>
    </w:tbl>
    <w:p>
      <w:pPr>
        <w:pStyle w:val="BodyText"/>
      </w:pPr>
      <w:r>
        <w:t xml:space="preserve">P values are from the two-sided Wilcoxon signed-rank test. (e) The oracle conventional estimate is recentred by the cohort’s mean signed error (−10.8 days), removing its systematic bias; this uses outcome information unavailable prospectively and represents a best case for the conventional approach. The AI additionally requires no dating input and provides calibrated intervals, which the conventional estimate cannot. MAE, mean absolute error.</w:t>
      </w:r>
    </w:p>
    <w:p>
      <w:pPr>
        <w:pStyle w:val="BodyText"/>
      </w:pPr>
      <w:r>
        <w:rPr>
          <w:bCs/>
          <w:b/>
        </w:rPr>
        <w:t xml:space="preserve">Supplementary Table S2 | Complete accuracy metrics for the image-only AI and conventional estimation, by population.</w:t>
      </w:r>
      <w:r>
        <w:t xml:space="preserve"> These values complement the head-to-head summary in Table 2. Error = actual minus predicted days.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Population (n)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MedAE,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RMSE,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CCC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Bias,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≤7 d, 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≤21 d, 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&gt;28 d, 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singletons (3,788)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singletons (3,788)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Reliable CRL dating (3,332)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Reliable CRL dating (3,332)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−10.6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Late/uncertain dating (456)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Late/uncertain dating (456)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Term, ≥37 wk (3,526)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Term, ≥37 wk (3,526)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−8.9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Preterm, &lt;37 wk (262)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−7.4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Preterm, &lt;37 wk (262)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−37.5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Earliest scan per pregnancy (2,550)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Earliest scan per pregnancy (2,550)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Latest scan per pregnancy (2,550)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98.7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Latest scan per pregnancy (2,550)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Conventional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−10.3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</w:t>
            </w:r>
          </w:p>
        </w:tc>
      </w:tr>
    </w:tbl>
    <w:p>
      <w:pPr>
        <w:pStyle w:val="BodyText"/>
      </w:pPr>
      <w:r>
        <w:t xml:space="preserve">MedAE, median absolute error; RMSE, root mean squared error; CCC, Lin’s concordance correlation coefficient. R² and CCC are high for most strata because the variance of days-to-delivery is dominated by gestational age at the scan; the methods separate primarily on bias, within-window accuracy, and the catastrophic-error rate. In the preterm stratum the conventional estimate’s near-zero R² and very high &gt;28-day rate reflect that the 40-week due date cannot anticipate preterm delivery.</w:t>
      </w:r>
    </w:p>
    <w:sectPr>
      <w:pgSz w:w="12240" w:h="15840"/>
      <w:pgMar w:top="1440" w:right="1440" w:bottom="1440" w:left="1440" w:header="720" w:footer="720" w:gutter="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/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Relationship Type="http://schemas.openxmlformats.org/officeDocument/2006/relationships/footnotes" Id="rId7" Target="footnotes.xml"/><Relationship Type="http://schemas.openxmlformats.org/officeDocument/2006/relationships/comments" Id="rId8" Target="comments.xml"/></Relationships>
</file>

<file path=word/_rels/footnotes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2026-06-08T05:16:23Z</dcterms:created>
  <dcterms:modified xsi:type="dcterms:W3CDTF">2026-06-08T05:16:23Z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