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Times New Roman" w:hAnsi="Times New Roman"/>
          <w:b/>
          <w:sz w:val="32"/>
        </w:rPr>
        <w:t>Supplementary Material</w:t>
      </w:r>
    </w:p>
    <w:p/>
    <w:p>
      <w:pPr>
        <w:pStyle w:val="Heading1"/>
      </w:pPr>
      <w:r>
        <w:rPr>
          <w:rFonts w:ascii="Times New Roman" w:hAnsi="Times New Roman"/>
          <w:sz w:val="28"/>
        </w:rPr>
        <w:t>Supplementary Table S1. Subgroup analyses in the MIMIC-IV-ED held-out test set</w:t>
      </w:r>
    </w:p>
    <w:p>
      <w:pPr>
        <w:spacing w:after="120"/>
        <w:jc w:val="left"/>
      </w:pPr>
      <w:r>
        <w:rPr>
          <w:rFonts w:ascii="Times New Roman" w:hAnsi="Times New Roman"/>
          <w:b/>
          <w:sz w:val="20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2016"/>
            <w:tcBorders>
              <w:top w:val="single" w:sz="12" w:space="0" w:color="000000"/>
              <w:left w:val="nil" w:sz="4" w:space="0" w:color="000000"/>
              <w:bottom w:val="single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Subgroup</w:t>
            </w:r>
          </w:p>
        </w:tc>
        <w:tc>
          <w:tcPr>
            <w:tcW w:type="dxa" w:w="1440"/>
            <w:tcBorders>
              <w:top w:val="single" w:sz="12" w:space="0" w:color="000000"/>
              <w:left w:val="nil" w:sz="4" w:space="0" w:color="000000"/>
              <w:bottom w:val="single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N</w:t>
            </w:r>
          </w:p>
        </w:tc>
        <w:tc>
          <w:tcPr>
            <w:tcW w:type="dxa" w:w="1728"/>
            <w:tcBorders>
              <w:top w:val="single" w:sz="12" w:space="0" w:color="000000"/>
              <w:left w:val="nil" w:sz="4" w:space="0" w:color="000000"/>
              <w:bottom w:val="single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Sepsis n (%)</w:t>
            </w:r>
          </w:p>
        </w:tc>
        <w:tc>
          <w:tcPr>
            <w:tcW w:type="dxa" w:w="1728"/>
            <w:tcBorders>
              <w:top w:val="single" w:sz="12" w:space="0" w:color="000000"/>
              <w:left w:val="nil" w:sz="4" w:space="0" w:color="000000"/>
              <w:bottom w:val="single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XGBoost AUROC</w:t>
            </w:r>
          </w:p>
        </w:tc>
        <w:tc>
          <w:tcPr>
            <w:tcW w:type="dxa" w:w="1728"/>
            <w:tcBorders>
              <w:top w:val="single" w:sz="12" w:space="0" w:color="000000"/>
              <w:left w:val="nil" w:sz="4" w:space="0" w:color="000000"/>
              <w:bottom w:val="single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  <w:tc>
          <w:tcPr>
            <w:tcW w:type="dxa" w:w="1728"/>
            <w:tcBorders>
              <w:top w:val="single" w:sz="12" w:space="0" w:color="000000"/>
              <w:left w:val="nil" w:sz="4" w:space="0" w:color="000000"/>
              <w:bottom w:val="single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qSOFA AUROC</w:t>
            </w:r>
          </w:p>
        </w:tc>
        <w:tc>
          <w:tcPr>
            <w:tcW w:type="dxa" w:w="1728"/>
            <w:tcBorders>
              <w:top w:val="single" w:sz="12" w:space="0" w:color="000000"/>
              <w:left w:val="nil" w:sz="4" w:space="0" w:color="000000"/>
              <w:bottom w:val="single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95% CI</w:t>
            </w:r>
          </w:p>
        </w:tc>
      </w:tr>
      <w:tr>
        <w:tc>
          <w:tcPr>
            <w:tcW w:type="dxa" w:w="2016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Overall</w:t>
            </w:r>
          </w:p>
        </w:tc>
        <w:tc>
          <w:tcPr>
            <w:tcW w:type="dxa" w:w="1440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41,818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2,541 (6.1)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0.875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0.868-0.882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0.614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0.604-0.624</w:t>
            </w:r>
          </w:p>
        </w:tc>
      </w:tr>
      <w:tr>
        <w:tc>
          <w:tcPr>
            <w:tcW w:type="dxa" w:w="2016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Age &lt;65 years</w:t>
            </w:r>
          </w:p>
        </w:tc>
        <w:tc>
          <w:tcPr>
            <w:tcW w:type="dxa" w:w="1440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23,965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1,210 (5.0)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0.878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0.867-0.888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0.609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0.595-0.622</w:t>
            </w:r>
          </w:p>
        </w:tc>
      </w:tr>
      <w:tr>
        <w:tc>
          <w:tcPr>
            <w:tcW w:type="dxa" w:w="2016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Age &gt;=65 years</w:t>
            </w:r>
          </w:p>
        </w:tc>
        <w:tc>
          <w:tcPr>
            <w:tcW w:type="dxa" w:w="1440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17,850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1,331 (7.5)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0.868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0.858-0.879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0.615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0.601-0.628</w:t>
            </w:r>
          </w:p>
        </w:tc>
      </w:tr>
      <w:tr>
        <w:tc>
          <w:tcPr>
            <w:tcW w:type="dxa" w:w="2016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Male</w:t>
            </w:r>
          </w:p>
        </w:tc>
        <w:tc>
          <w:tcPr>
            <w:tcW w:type="dxa" w:w="1440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20,244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1,378 (6.8)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0.866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0.857-0.875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0.610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0.597-0.624</w:t>
            </w:r>
          </w:p>
        </w:tc>
      </w:tr>
      <w:tr>
        <w:tc>
          <w:tcPr>
            <w:tcW w:type="dxa" w:w="2016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Female</w:t>
            </w:r>
          </w:p>
        </w:tc>
        <w:tc>
          <w:tcPr>
            <w:tcW w:type="dxa" w:w="1440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21,574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1,163 (5.4)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0.882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0.871-0.892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0.619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0.605-0.634</w:t>
            </w:r>
          </w:p>
        </w:tc>
      </w:tr>
      <w:tr>
        <w:tc>
          <w:tcPr>
            <w:tcW w:type="dxa" w:w="2016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ESI 1-2</w:t>
            </w:r>
          </w:p>
        </w:tc>
        <w:tc>
          <w:tcPr>
            <w:tcW w:type="dxa" w:w="1440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23,989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1,752 (7.3)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0.885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0.877-0.893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0.633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0.622-0.645</w:t>
            </w:r>
          </w:p>
        </w:tc>
      </w:tr>
      <w:tr>
        <w:tc>
          <w:tcPr>
            <w:tcW w:type="dxa" w:w="2016"/>
            <w:tcBorders>
              <w:top w:val="nil" w:sz="4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ESI 3-5</w:t>
            </w:r>
          </w:p>
        </w:tc>
        <w:tc>
          <w:tcPr>
            <w:tcW w:type="dxa" w:w="1440"/>
            <w:tcBorders>
              <w:top w:val="nil" w:sz="4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17,816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788 (4.4)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0.846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0.832-0.859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0.546</w:t>
            </w:r>
          </w:p>
        </w:tc>
        <w:tc>
          <w:tcPr>
            <w:tcW w:type="dxa" w:w="1728"/>
            <w:tcBorders>
              <w:top w:val="nil" w:sz="4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</w:rPr>
              <w:t>0.534-0.560</w:t>
            </w:r>
          </w:p>
        </w:tc>
      </w:tr>
    </w:tbl>
    <w:p/>
    <w:p>
      <w:pPr>
        <w:spacing w:line="480" w:lineRule="auto"/>
        <w:ind w:firstLine="720"/>
      </w:pPr>
      <w:r>
        <w:rPr>
          <w:rFonts w:ascii="Times New Roman" w:hAnsi="Times New Roman"/>
          <w:sz w:val="20"/>
        </w:rPr>
        <w:t>Note: ESI = Emergency Severity Index. AUROC = area under the receiver operating characteristic curve; CI = 95% confidence interval calculated by 1,000 bootstrap resamples within each subgroup.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