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Who Controls the Algorithm? Data Sovereignty, Digital Extractivism,</w:t>
      </w:r>
    </w:p>
    <w:p>
      <w:pPr>
        <w:spacing w:after="12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and AI Governance Gaps in Africa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i/>
          <w:iCs/>
          <w:sz w:val="26"/>
          <w:szCs w:val="26"/>
        </w:rPr>
        <w:t xml:space="preserve">Supplementary Materials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Samuel Okediji · Gansuvun Oyinkansola</w:t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MA Cultural Policy and Management Studies, University of Arts Belgrade UNESCO Chair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LLB LAW, LAGOS STATE UNIVERSITY OJO</w:t>
      </w:r>
    </w:p>
    <w:p>
      <w:pPr>
        <w:pBdr>
          <w:bottom w:val="single" w:color="2E4057" w:sz="6" w:space="1"/>
        </w:pBdr>
        <w:spacing w:after="200" w:before="200"/>
      </w:pP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0"/>
          <w:szCs w:val="20"/>
        </w:rPr>
        <w:t xml:space="preserve">This document contains:</w:t>
      </w:r>
    </w:p>
    <w:p>
      <w:pPr>
        <w:spacing w:after="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8"/>
          <w:szCs w:val="18"/>
        </w:rPr>
        <w:t xml:space="preserve">Table 3 — Supplementary Enforcement Indicators by Country</w:t>
      </w:r>
    </w:p>
    <w:p>
      <w:pPr>
        <w:spacing w:after="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8"/>
          <w:szCs w:val="18"/>
        </w:rPr>
        <w:t xml:space="preserve">Supplementary Material A — AAGRI Dimension-Level Scoring Documentation (Table S1)</w:t>
      </w:r>
    </w:p>
    <w:p>
      <w:pPr>
        <w:spacing w:after="2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8"/>
          <w:szCs w:val="18"/>
        </w:rPr>
        <w:t xml:space="preserve">Supplementary Material B — Sensitivity Analysis Results (Table S2)</w:t>
      </w:r>
    </w:p>
    <w:p>
      <w:pPr>
        <w:pBdr>
          <w:bottom w:val="single" w:color="2E4057" w:sz="6" w:space="1"/>
        </w:pBdr>
        <w:spacing w:after="200" w:before="200"/>
      </w:pPr>
    </w:p>
    <w:p>
      <w:pPr>
        <w:spacing w:after="160" w:before="24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Table 3: Supplementary Enforcement Indicators by Country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8"/>
          <w:szCs w:val="18"/>
        </w:rPr>
        <w:t xml:space="preserve">Enforcement indicator data for all four case-study countries drawn from IAPP (2024), Tech Hive Advisory (2024), CIPESA (2024), and African Researchers Magazine (2025). Rwanda data is limited by press freedom constraints on independent reporting.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1755"/>
        <w:gridCol w:w="1755"/>
        <w:gridCol w:w="1755"/>
        <w:gridCol w:w="1755"/>
      </w:tblGrid>
      <w:tr>
        <w:trPr>
          <w:tblHeader/>
        </w:trP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Indicator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Nigeria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Kenya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Rwanda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South Africa</w:t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DPA Establishment Year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2023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2019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2021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2021</w:t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AI-Specific Enacted Legislation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None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None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Partial (National AI Policy)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None</w:t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Documented Major Enforcement Actions (2022–2024)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 (Meta $220M, 2024)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Worldcoin suspension; KES 14M+ fines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Limited public record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Multiple notices and fines</w:t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Dedicated AI Audit Unit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No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No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No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Partial (IOCO)</w:t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Documented Breach Response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NIMC: no action as of mid-2024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Worldcoin: suspended pending review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N/A (press freedom constrained)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Notices and fines issued</w:t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ECS Score (AAGRI D2)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2.5/10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4.0/10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4.5/10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7.0/10</w:t>
            </w:r>
          </w:p>
        </w:tc>
      </w:tr>
    </w:tbl>
    <w:p>
      <w:pPr>
        <w:spacing w:after="160"/>
      </w:pPr>
      <w:r>
        <w:rPr>
          <w:rFonts w:ascii="Times New Roman" w:cs="Times New Roman" w:eastAsia="Times New Roman" w:hAnsi="Times New Roman"/>
          <w:b/>
          <w:bCs/>
          <w:i/>
          <w:iCs/>
          <w:sz w:val="16"/>
          <w:szCs w:val="16"/>
        </w:rPr>
        <w:t xml:space="preserve">Note: </w:t>
      </w:r>
      <w:r>
        <w:rPr>
          <w:rFonts w:ascii="Times New Roman" w:cs="Times New Roman" w:eastAsia="Times New Roman" w:hAnsi="Times New Roman"/>
          <w:i/>
          <w:iCs/>
          <w:sz w:val="16"/>
          <w:szCs w:val="16"/>
        </w:rPr>
        <w:t xml:space="preserve">Rwanda enforcement data limited by press freedom constraints on independent reporting. All other figures sourced from IAPP (2024), Tech Hive Advisory (2024), and CIPESA (2024).</w:t>
      </w:r>
    </w:p>
    <w:p>
      <w:pPr>
        <w:pBdr>
          <w:bottom w:val="single" w:color="2E4057" w:sz="6" w:space="1"/>
        </w:pBdr>
        <w:spacing w:after="200" w:before="200"/>
      </w:pPr>
    </w:p>
    <w:p>
      <w:pPr>
        <w:spacing w:after="160" w:before="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Supplementary Material A</w:t>
      </w:r>
    </w:p>
    <w:p>
      <w:pPr>
        <w:spacing w:after="160" w:before="24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AAGRI Dimension-Level Scoring Documentation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8"/>
          <w:szCs w:val="18"/>
        </w:rPr>
        <w:t xml:space="preserve">This supplementary material provides the full dimension-level scoring documentation for the Africa AI Governance Readiness Index (AAGRI), including the primary evidence supporting each country-dimension score, to enable independent replication and critique of the scoring methodology.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8"/>
          <w:szCs w:val="18"/>
        </w:rPr>
        <w:t xml:space="preserve">Scoring Schema: 0–3 = Critical deficiency (legislation absent or unenforced; institution non-functional or non-existent). 4–6 = Partial development (legislation exists but enforcement limited; institution operational but under-resourced or constrained). 7–10 = Functional adequacy (legislation comprehensive and contextually appropriate; enforcement documented and credible; institution demonstrably independent). Scores at band boundaries resolved by enforcement action criterion: a score of 7 or above requires at least one documented enforcement action within the preceding three years producing a measurable outcome.</w:t>
      </w:r>
    </w:p>
    <w:p>
      <w:pPr>
        <w:spacing w:after="160" w:before="240"/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Table S1: AAGRI Dimension-Level Scoring Evidence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00"/>
        <w:gridCol w:w="4760"/>
        <w:gridCol w:w="2300"/>
      </w:tblGrid>
      <w:tr>
        <w:trPr>
          <w:tblHeader/>
        </w:trP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Country / Dimension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Score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Primary Evidence Supporting Score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Key Sources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Nigeria D1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6.5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NDPA 2023 enacted with GDPR-derived rights architecture; comprehensive scope but no AI-specific provisions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Nigeria DPA 2023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Nigeria D2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2.5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No AI Audit Unit; NIMC breach with no documented enforcement response; lawsuit filed over DPA underfunding; single major enforcement action (Meta $220M, 2024, post-scoring)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IAPP 2024; Okolo 2024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Nigeria D3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1.5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No enacted AI-specific legislation or mandatory AIA requirement; no AI risk classification framework; largest fintech market on continent operating without algorithmic accountability provisions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Gwagwa et al. 2024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Nigeria D4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2.0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No multilingual data rights communication programme; NDPC online complaint mechanism not optimised for low-bandwidth connectivity; Chege (2026) documents critically low awareness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Chege 2026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Nigeria D5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3.0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NDPC leadership appointed by executive without legislative confirmation; no documented civil society nomination process; political exposure documented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IAPP 2024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Nigeria D6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3.5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Malabo Convention not ratified as of 2024; partial engagement with AU Continental AI Strategy; limited participation in global AI governance forums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AU 2024; Tech Gov 2024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Kenya D1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6.0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DPA 2019 comprehensive for its time; established data subject rights and DPA structure; pre-AI vintage limits AI-specific applicability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Republic of Kenya 2019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Kenya D2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4.0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Worldcoin suspension documented; KES 14M+ penalties imposed; ODPC technically under-resourced relative to mandate; no dedicated AI audit staff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IAPP 2024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Kenya D3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2.5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No AI-specific legislation has been enacted; digital lending sector operating without AIA requirements despite documented algorithmic bias against women and rural borrowers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Gwagwa &amp; Hilliard 2024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Kenya D4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3.0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Swahili-medium communications improving; digital literacy gap documented especially in rural areas; Huduma Namba controversy showed limited citizen awareness of biometric rights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Chege 2026; CIPESA 2024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Kenya D5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4.5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ODPC operates with reasonable day-to-day independence; appointment process more transparent than Nigeria; some documented commercial pressure on regulatory positions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IAPP 2024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Rwanda D3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5.5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National AI Policy addresses AI-specific governance questions beyond general data protection; highest AI-specific score in sample; implementation accountability limited by D5 constraints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Gwagwa et al. 2024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Rwanda D5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3.0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Freedom House (2024) documents constraints on press freedom, civil society, and judicial autonomy; RISA functions within state security architecture; regulatory independence from political authority structurally limited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Freedom House 2024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South Africa D1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8.5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POPIA fully operational since July 2021; most comprehensive enacted data protection framework on continent; constitutional privacy architecture; strong judicial enforcement tradition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Republic of SA 2013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South Africa D2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7.0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IOCO has issued multiple enforcement notices against government and private entities; documented fines imposed; enforcement track record established; partial AI audit capacity in development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IAPP 2024; Njanja 2022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South Africa D3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3.5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No AI-specific enacted legislation; facial recognition deployed in multiple cities without legislative mandate or demographic bias assessment; POPIA Section 71 on automated decisions limited in practical enforceability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Buolamwini &amp; Gebru 2018</w:t>
            </w:r>
          </w:p>
        </w:tc>
      </w:tr>
      <w:tr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South Africa D5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7.5</w:t>
            </w:r>
          </w:p>
        </w:tc>
        <w:tc>
          <w:tcPr>
            <w:tcW w:type="dxa" w:w="4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Constitutional independence of Information Regulator strongest in sample; appointment process involves parliamentary oversight; documented resistance to executive interference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IAPP 2024</w:t>
            </w:r>
          </w:p>
        </w:tc>
      </w:tr>
    </w:tbl>
    <w:p>
      <w:pPr>
        <w:spacing w:after="160"/>
      </w:pPr>
      <w:r>
        <w:rPr>
          <w:rFonts w:ascii="Times New Roman" w:cs="Times New Roman" w:eastAsia="Times New Roman" w:hAnsi="Times New Roman"/>
          <w:b/>
          <w:bCs/>
          <w:i/>
          <w:iCs/>
          <w:sz w:val="16"/>
          <w:szCs w:val="16"/>
        </w:rPr>
        <w:t xml:space="preserve">Note: </w:t>
      </w:r>
      <w:r>
        <w:rPr>
          <w:rFonts w:ascii="Times New Roman" w:cs="Times New Roman" w:eastAsia="Times New Roman" w:hAnsi="Times New Roman"/>
          <w:i/>
          <w:iCs/>
          <w:sz w:val="16"/>
          <w:szCs w:val="16"/>
        </w:rPr>
        <w:t xml:space="preserve">Dimensions not listed follow the same evidentiary logic. Scores at band boundaries (e.g. 4 vs 5, 6 vs 7) were resolved by the enforcement action criterion: a score of 7 or above requires at least one documented enforcement action within the preceding three years producing a measurable outcome (fine, suspension, or corrective order). All source documents are publicly available and fully cited in the main manuscript References section.</w:t>
      </w:r>
    </w:p>
    <w:p>
      <w:pPr>
        <w:pBdr>
          <w:bottom w:val="single" w:color="2E4057" w:sz="6" w:space="1"/>
        </w:pBdr>
        <w:spacing w:after="200" w:before="200"/>
      </w:pPr>
    </w:p>
    <w:p>
      <w:pPr>
        <w:spacing w:after="160" w:before="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Supplementary Material B</w:t>
      </w:r>
    </w:p>
    <w:p>
      <w:pPr>
        <w:spacing w:after="160" w:before="24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Sensitivity Analysis Results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8"/>
          <w:szCs w:val="18"/>
        </w:rPr>
        <w:t xml:space="preserve">Three alternative weighting scenarios were tested alongside the base case of equal weighting to assess ordinal ranking stability. Scenario A applied double weight to D2 (Enforcement Capacity) and D3 (AI-Specific Regulatory Readiness). Scenario B applied double weight to D1 (Legislative Framework) and D6 (International Alignment). Scenario C preserved equal weighting (identical to base case).</w:t>
      </w:r>
    </w:p>
    <w:p>
      <w:pPr>
        <w:spacing w:after="160" w:before="240"/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Table S2: AAGRI Composite Scores Under Alternative Weighting Scenarios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1755"/>
        <w:gridCol w:w="1755"/>
        <w:gridCol w:w="1755"/>
        <w:gridCol w:w="1755"/>
      </w:tblGrid>
      <w:tr>
        <w:trPr>
          <w:tblHeader/>
        </w:trP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Scenario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Nigeria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Kenya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Rwanda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South Africa</w:t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Base (equal weights)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31.7%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40.8%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43.3%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61.7%</w:t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Scenario A (D2+D3 double weighted)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28.8%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38.8%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45.0%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59.4%</w:t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Scenario B (D1+D6 double weighted)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36.3%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43.8%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45.6%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64.4%</w:t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Ordinal rank (all scenarios)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4th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3rd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2nd</w:t>
            </w:r>
          </w:p>
        </w:tc>
        <w:tc>
          <w:tcPr>
            <w:tcW w:type="dxa" w:w="175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1st</w:t>
            </w:r>
          </w:p>
        </w:tc>
      </w:tr>
    </w:tbl>
    <w:p>
      <w:pPr>
        <w:spacing w:after="160"/>
      </w:pPr>
      <w:r>
        <w:rPr>
          <w:rFonts w:ascii="Times New Roman" w:cs="Times New Roman" w:eastAsia="Times New Roman" w:hAnsi="Times New Roman"/>
          <w:b/>
          <w:bCs/>
          <w:i/>
          <w:iCs/>
          <w:sz w:val="16"/>
          <w:szCs w:val="16"/>
        </w:rPr>
        <w:t xml:space="preserve">Note: </w:t>
      </w:r>
      <w:r>
        <w:rPr>
          <w:rFonts w:ascii="Times New Roman" w:cs="Times New Roman" w:eastAsia="Times New Roman" w:hAnsi="Times New Roman"/>
          <w:i/>
          <w:iCs/>
          <w:sz w:val="16"/>
          <w:szCs w:val="16"/>
        </w:rPr>
        <w:t xml:space="preserve">Under Scenario B the Rwanda–Kenya margin narrows to 1.9 percentage points (Rwanda 45.6%, Kenya 43.8%), the closest adjacent pairing in any scenario, but the ordinal ranking does not invert and both countries remain within the Developing readiness band. The ordinal ranking South Africa &gt; Rwanda &gt; Kenya &gt; Nigeria is stable across all weighting scenarios. Score differentials between adjacent countries narrowed or widened by a maximum of approximately 4.6 percentage points, and no country crossed a readiness band boundary.</w:t>
      </w:r>
    </w:p>
    <w:p>
      <w:pPr>
        <w:pBdr>
          <w:bottom w:val="single" w:color="2E4057" w:sz="6" w:space="1"/>
        </w:pBdr>
        <w:spacing w:after="200" w:before="200"/>
      </w:pPr>
    </w:p>
    <w:p>
      <w:pPr>
        <w:spacing w:after="160" w:before="24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Readiness Band Key</w:t>
      </w:r>
    </w:p>
    <w:p>
      <w:pPr>
        <w:spacing w:after="16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8"/>
          <w:szCs w:val="18"/>
        </w:rPr>
        <w:t xml:space="preserve">Critical: 0–35%  |  Developing: 36–55%  |  Transitional: 56–70%  |  Functional: 71–85%  |  Advanced: 86–100%</w:t>
      </w:r>
    </w:p>
    <w:sectPr>
      <w:pgSz w:w="12240" w:h="15840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2026-06-10T18:58:37.581Z</dcterms:created>
  <dcterms:modified xsi:type="dcterms:W3CDTF">2026-06-10T18:58:37.581Z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