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EA23D">
      <w:pPr>
        <w:jc w:val="both"/>
        <w:rPr>
          <w:rFonts w:hint="default"/>
          <w:lang w:val="en-US"/>
        </w:rPr>
      </w:pPr>
      <w:r>
        <w:rPr>
          <w:rFonts w:ascii="Times New Roman" w:hAnsi="Times New Roman" w:eastAsia="Times New Roman"/>
          <w:b/>
          <w:sz w:val="24"/>
        </w:rPr>
        <w:t xml:space="preserve">Table </w:t>
      </w:r>
      <w:r>
        <w:rPr>
          <w:rFonts w:hint="default" w:ascii="Times New Roman" w:hAnsi="Times New Roman" w:eastAsia="Times New Roman"/>
          <w:b/>
          <w:sz w:val="24"/>
          <w:lang w:val="en-US"/>
        </w:rPr>
        <w:t>S1</w:t>
      </w:r>
      <w:r>
        <w:rPr>
          <w:rFonts w:ascii="Times New Roman" w:hAnsi="Times New Roman" w:eastAsia="Times New Roman"/>
          <w:b/>
          <w:sz w:val="24"/>
        </w:rPr>
        <w:t xml:space="preserve">. Forward and reverse exploratory mediation analyses in the CID </w:t>
      </w:r>
      <w:r>
        <w:rPr>
          <w:rFonts w:hint="default" w:ascii="Times New Roman" w:hAnsi="Times New Roman" w:eastAsia="Times New Roman"/>
          <w:b/>
          <w:sz w:val="24"/>
          <w:lang w:val="en-US"/>
        </w:rPr>
        <w:t>groups</w:t>
      </w:r>
    </w:p>
    <w:p w14:paraId="11436B22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929"/>
        <w:gridCol w:w="929"/>
        <w:gridCol w:w="929"/>
        <w:gridCol w:w="929"/>
        <w:gridCol w:w="929"/>
        <w:gridCol w:w="929"/>
        <w:gridCol w:w="929"/>
        <w:gridCol w:w="929"/>
        <w:gridCol w:w="929"/>
        <w:gridCol w:w="929"/>
      </w:tblGrid>
      <w:tr w14:paraId="382455BA">
        <w:trPr>
          <w:jc w:val="center"/>
        </w:trPr>
        <w:tc>
          <w:tcPr>
            <w:tcW w:w="2376" w:type="dxa"/>
            <w:shd w:val="clear" w:color="auto" w:fill="D9EAF4"/>
            <w:vAlign w:val="center"/>
          </w:tcPr>
          <w:p w14:paraId="43B3716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Mediator</w:t>
            </w:r>
          </w:p>
        </w:tc>
        <w:tc>
          <w:tcPr>
            <w:tcW w:w="979" w:type="dxa"/>
            <w:shd w:val="clear" w:color="auto" w:fill="D9EAF4"/>
            <w:vAlign w:val="center"/>
          </w:tcPr>
          <w:p w14:paraId="0FD964D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a</w:t>
            </w:r>
          </w:p>
        </w:tc>
        <w:tc>
          <w:tcPr>
            <w:tcW w:w="835" w:type="dxa"/>
            <w:shd w:val="clear" w:color="auto" w:fill="D9EAF4"/>
            <w:vAlign w:val="center"/>
          </w:tcPr>
          <w:p w14:paraId="12E0EC8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P</w:t>
            </w:r>
          </w:p>
        </w:tc>
        <w:tc>
          <w:tcPr>
            <w:tcW w:w="979" w:type="dxa"/>
            <w:shd w:val="clear" w:color="auto" w:fill="D9EAF4"/>
            <w:vAlign w:val="center"/>
          </w:tcPr>
          <w:p w14:paraId="0760814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b</w:t>
            </w:r>
          </w:p>
        </w:tc>
        <w:tc>
          <w:tcPr>
            <w:tcW w:w="835" w:type="dxa"/>
            <w:shd w:val="clear" w:color="auto" w:fill="D9EAF4"/>
            <w:vAlign w:val="center"/>
          </w:tcPr>
          <w:p w14:paraId="11E8BEF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P</w:t>
            </w:r>
          </w:p>
        </w:tc>
        <w:tc>
          <w:tcPr>
            <w:tcW w:w="979" w:type="dxa"/>
            <w:shd w:val="clear" w:color="auto" w:fill="D9EAF4"/>
            <w:vAlign w:val="center"/>
          </w:tcPr>
          <w:p w14:paraId="20367FC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c</w:t>
            </w:r>
          </w:p>
        </w:tc>
        <w:tc>
          <w:tcPr>
            <w:tcW w:w="835" w:type="dxa"/>
            <w:shd w:val="clear" w:color="auto" w:fill="D9EAF4"/>
            <w:vAlign w:val="center"/>
          </w:tcPr>
          <w:p w14:paraId="1920F87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P</w:t>
            </w:r>
          </w:p>
        </w:tc>
        <w:tc>
          <w:tcPr>
            <w:tcW w:w="979" w:type="dxa"/>
            <w:shd w:val="clear" w:color="auto" w:fill="D9EAF4"/>
            <w:vAlign w:val="center"/>
          </w:tcPr>
          <w:p w14:paraId="756790D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c′</w:t>
            </w:r>
          </w:p>
        </w:tc>
        <w:tc>
          <w:tcPr>
            <w:tcW w:w="835" w:type="dxa"/>
            <w:shd w:val="clear" w:color="auto" w:fill="D9EAF4"/>
            <w:vAlign w:val="center"/>
          </w:tcPr>
          <w:p w14:paraId="70132FF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P</w:t>
            </w:r>
          </w:p>
        </w:tc>
        <w:tc>
          <w:tcPr>
            <w:tcW w:w="2952" w:type="dxa"/>
            <w:shd w:val="clear" w:color="auto" w:fill="D9EAF4"/>
            <w:vAlign w:val="center"/>
          </w:tcPr>
          <w:p w14:paraId="651D2A8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Indirect effect [95% CI]</w:t>
            </w:r>
          </w:p>
        </w:tc>
        <w:tc>
          <w:tcPr>
            <w:tcW w:w="1224" w:type="dxa"/>
            <w:shd w:val="clear" w:color="auto" w:fill="D9EAF4"/>
            <w:vAlign w:val="center"/>
          </w:tcPr>
          <w:p w14:paraId="1CDFFE5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Bootstrap P</w:t>
            </w:r>
          </w:p>
        </w:tc>
      </w:tr>
      <w:tr w14:paraId="391D902B">
        <w:trPr>
          <w:jc w:val="center"/>
        </w:trPr>
        <w:tc>
          <w:tcPr>
            <w:tcW w:w="13808" w:type="dxa"/>
            <w:gridSpan w:val="11"/>
            <w:shd w:val="clear" w:color="auto" w:fill="EFEFEF"/>
            <w:vAlign w:val="center"/>
          </w:tcPr>
          <w:p w14:paraId="544CCA25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Forward exploratory mediation: PSQI → brain metric → SDS</w:t>
            </w:r>
          </w:p>
        </w:tc>
      </w:tr>
      <w:tr w14:paraId="47178EF9">
        <w:trPr>
          <w:jc w:val="center"/>
        </w:trPr>
        <w:tc>
          <w:tcPr>
            <w:tcW w:w="2376" w:type="dxa"/>
            <w:vAlign w:val="center"/>
          </w:tcPr>
          <w:p w14:paraId="14B48F37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PCU VMHC</w:t>
            </w:r>
          </w:p>
        </w:tc>
        <w:tc>
          <w:tcPr>
            <w:tcW w:w="979" w:type="dxa"/>
            <w:vAlign w:val="center"/>
          </w:tcPr>
          <w:p w14:paraId="5A69128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0.009</w:t>
            </w:r>
          </w:p>
        </w:tc>
        <w:tc>
          <w:tcPr>
            <w:tcW w:w="835" w:type="dxa"/>
            <w:vAlign w:val="center"/>
          </w:tcPr>
          <w:p w14:paraId="737530E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0.096</w:t>
            </w:r>
          </w:p>
        </w:tc>
        <w:tc>
          <w:tcPr>
            <w:tcW w:w="979" w:type="dxa"/>
            <w:vAlign w:val="center"/>
          </w:tcPr>
          <w:p w14:paraId="6923A7D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-18.724</w:t>
            </w:r>
          </w:p>
        </w:tc>
        <w:tc>
          <w:tcPr>
            <w:tcW w:w="835" w:type="dxa"/>
            <w:vAlign w:val="center"/>
          </w:tcPr>
          <w:p w14:paraId="60B8B97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&lt;0.001</w:t>
            </w:r>
          </w:p>
        </w:tc>
        <w:tc>
          <w:tcPr>
            <w:tcW w:w="979" w:type="dxa"/>
            <w:vAlign w:val="center"/>
          </w:tcPr>
          <w:p w14:paraId="66690C7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0.606</w:t>
            </w:r>
          </w:p>
        </w:tc>
        <w:tc>
          <w:tcPr>
            <w:tcW w:w="835" w:type="dxa"/>
            <w:vAlign w:val="center"/>
          </w:tcPr>
          <w:p w14:paraId="01B3B75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7CD5C4B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0.770</w:t>
            </w:r>
          </w:p>
        </w:tc>
        <w:tc>
          <w:tcPr>
            <w:tcW w:w="835" w:type="dxa"/>
            <w:vAlign w:val="center"/>
          </w:tcPr>
          <w:p w14:paraId="4B69309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0.003</w:t>
            </w:r>
          </w:p>
        </w:tc>
        <w:tc>
          <w:tcPr>
            <w:tcW w:w="2952" w:type="dxa"/>
            <w:vAlign w:val="center"/>
          </w:tcPr>
          <w:p w14:paraId="300D387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-0.164 [-0.398, 0.008]</w:t>
            </w:r>
          </w:p>
        </w:tc>
        <w:tc>
          <w:tcPr>
            <w:tcW w:w="1224" w:type="dxa"/>
            <w:vAlign w:val="center"/>
          </w:tcPr>
          <w:p w14:paraId="7F05FDF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0.067</w:t>
            </w:r>
          </w:p>
        </w:tc>
      </w:tr>
      <w:tr w14:paraId="4AD3AEC3">
        <w:trPr>
          <w:jc w:val="center"/>
        </w:trPr>
        <w:tc>
          <w:tcPr>
            <w:tcW w:w="2376" w:type="dxa"/>
            <w:vAlign w:val="center"/>
          </w:tcPr>
          <w:p w14:paraId="0A7EA45E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PCU-CAL FC</w:t>
            </w:r>
          </w:p>
        </w:tc>
        <w:tc>
          <w:tcPr>
            <w:tcW w:w="979" w:type="dxa"/>
            <w:vAlign w:val="center"/>
          </w:tcPr>
          <w:p w14:paraId="3F2A0F6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-0.007</w:t>
            </w:r>
          </w:p>
        </w:tc>
        <w:tc>
          <w:tcPr>
            <w:tcW w:w="835" w:type="dxa"/>
            <w:vAlign w:val="center"/>
          </w:tcPr>
          <w:p w14:paraId="3D4AE05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0.090</w:t>
            </w:r>
          </w:p>
        </w:tc>
        <w:tc>
          <w:tcPr>
            <w:tcW w:w="979" w:type="dxa"/>
            <w:vAlign w:val="center"/>
          </w:tcPr>
          <w:p w14:paraId="0645A94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14.351</w:t>
            </w:r>
          </w:p>
        </w:tc>
        <w:tc>
          <w:tcPr>
            <w:tcW w:w="835" w:type="dxa"/>
            <w:vAlign w:val="center"/>
          </w:tcPr>
          <w:p w14:paraId="5C9E7F0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0.007</w:t>
            </w:r>
          </w:p>
        </w:tc>
        <w:tc>
          <w:tcPr>
            <w:tcW w:w="979" w:type="dxa"/>
            <w:vAlign w:val="center"/>
          </w:tcPr>
          <w:p w14:paraId="0323BB5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0.606</w:t>
            </w:r>
          </w:p>
        </w:tc>
        <w:tc>
          <w:tcPr>
            <w:tcW w:w="835" w:type="dxa"/>
            <w:vAlign w:val="center"/>
          </w:tcPr>
          <w:p w14:paraId="1FAFB14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31D669E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0.712</w:t>
            </w:r>
          </w:p>
        </w:tc>
        <w:tc>
          <w:tcPr>
            <w:tcW w:w="835" w:type="dxa"/>
            <w:vAlign w:val="center"/>
          </w:tcPr>
          <w:p w14:paraId="1EF502F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0.008</w:t>
            </w:r>
          </w:p>
        </w:tc>
        <w:tc>
          <w:tcPr>
            <w:tcW w:w="2952" w:type="dxa"/>
            <w:vAlign w:val="center"/>
          </w:tcPr>
          <w:p w14:paraId="5EB2E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-0.106 [-0.254, 0.008]</w:t>
            </w:r>
          </w:p>
        </w:tc>
        <w:tc>
          <w:tcPr>
            <w:tcW w:w="1224" w:type="dxa"/>
            <w:vAlign w:val="center"/>
          </w:tcPr>
          <w:p w14:paraId="0CB0B6C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0.071</w:t>
            </w:r>
          </w:p>
        </w:tc>
      </w:tr>
      <w:tr w14:paraId="39E68C47">
        <w:trPr>
          <w:jc w:val="center"/>
        </w:trPr>
        <w:tc>
          <w:tcPr>
            <w:tcW w:w="2376" w:type="dxa"/>
            <w:vAlign w:val="center"/>
          </w:tcPr>
          <w:p w14:paraId="236EF7FB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PCU-PostC FC</w:t>
            </w:r>
          </w:p>
        </w:tc>
        <w:tc>
          <w:tcPr>
            <w:tcW w:w="979" w:type="dxa"/>
            <w:vAlign w:val="center"/>
          </w:tcPr>
          <w:p w14:paraId="27DFD1B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0.005</w:t>
            </w:r>
          </w:p>
        </w:tc>
        <w:tc>
          <w:tcPr>
            <w:tcW w:w="835" w:type="dxa"/>
            <w:vAlign w:val="center"/>
          </w:tcPr>
          <w:p w14:paraId="5A5F682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0.230</w:t>
            </w:r>
          </w:p>
        </w:tc>
        <w:tc>
          <w:tcPr>
            <w:tcW w:w="979" w:type="dxa"/>
            <w:vAlign w:val="center"/>
          </w:tcPr>
          <w:p w14:paraId="3719190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17.131</w:t>
            </w:r>
          </w:p>
        </w:tc>
        <w:tc>
          <w:tcPr>
            <w:tcW w:w="835" w:type="dxa"/>
            <w:vAlign w:val="center"/>
          </w:tcPr>
          <w:p w14:paraId="19A114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&lt;0.001</w:t>
            </w:r>
          </w:p>
        </w:tc>
        <w:tc>
          <w:tcPr>
            <w:tcW w:w="979" w:type="dxa"/>
            <w:vAlign w:val="center"/>
          </w:tcPr>
          <w:p w14:paraId="670AD7D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0.606</w:t>
            </w:r>
          </w:p>
        </w:tc>
        <w:tc>
          <w:tcPr>
            <w:tcW w:w="835" w:type="dxa"/>
            <w:vAlign w:val="center"/>
          </w:tcPr>
          <w:p w14:paraId="2072F8E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5DD865D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0.513</w:t>
            </w:r>
          </w:p>
        </w:tc>
        <w:tc>
          <w:tcPr>
            <w:tcW w:w="835" w:type="dxa"/>
            <w:vAlign w:val="center"/>
          </w:tcPr>
          <w:p w14:paraId="18CC09D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0.048</w:t>
            </w:r>
          </w:p>
        </w:tc>
        <w:tc>
          <w:tcPr>
            <w:tcW w:w="2952" w:type="dxa"/>
            <w:vAlign w:val="center"/>
          </w:tcPr>
          <w:p w14:paraId="298B859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0.093 [-0.050, 0.268]</w:t>
            </w:r>
          </w:p>
        </w:tc>
        <w:tc>
          <w:tcPr>
            <w:tcW w:w="1224" w:type="dxa"/>
            <w:vAlign w:val="center"/>
          </w:tcPr>
          <w:p w14:paraId="0530C37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0.197</w:t>
            </w:r>
          </w:p>
        </w:tc>
      </w:tr>
      <w:tr w14:paraId="55A69ACA">
        <w:trPr>
          <w:jc w:val="center"/>
        </w:trPr>
        <w:tc>
          <w:tcPr>
            <w:tcW w:w="2376" w:type="dxa"/>
            <w:vAlign w:val="center"/>
          </w:tcPr>
          <w:p w14:paraId="230F1095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PCU-DLPFC FC</w:t>
            </w:r>
          </w:p>
        </w:tc>
        <w:tc>
          <w:tcPr>
            <w:tcW w:w="979" w:type="dxa"/>
            <w:vAlign w:val="center"/>
          </w:tcPr>
          <w:p w14:paraId="294A0FA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0.005</w:t>
            </w:r>
          </w:p>
        </w:tc>
        <w:tc>
          <w:tcPr>
            <w:tcW w:w="835" w:type="dxa"/>
            <w:vAlign w:val="center"/>
          </w:tcPr>
          <w:p w14:paraId="0BF326E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0.352</w:t>
            </w:r>
          </w:p>
        </w:tc>
        <w:tc>
          <w:tcPr>
            <w:tcW w:w="979" w:type="dxa"/>
            <w:vAlign w:val="center"/>
          </w:tcPr>
          <w:p w14:paraId="2E5ACB5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12.241</w:t>
            </w:r>
          </w:p>
        </w:tc>
        <w:tc>
          <w:tcPr>
            <w:tcW w:w="835" w:type="dxa"/>
            <w:vAlign w:val="center"/>
          </w:tcPr>
          <w:p w14:paraId="5974133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0.004</w:t>
            </w:r>
          </w:p>
        </w:tc>
        <w:tc>
          <w:tcPr>
            <w:tcW w:w="979" w:type="dxa"/>
            <w:vAlign w:val="center"/>
          </w:tcPr>
          <w:p w14:paraId="64114FB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0.606</w:t>
            </w:r>
          </w:p>
        </w:tc>
        <w:tc>
          <w:tcPr>
            <w:tcW w:w="835" w:type="dxa"/>
            <w:vAlign w:val="center"/>
          </w:tcPr>
          <w:p w14:paraId="6AAD82C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1EE38D3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0.543</w:t>
            </w:r>
          </w:p>
        </w:tc>
        <w:tc>
          <w:tcPr>
            <w:tcW w:w="835" w:type="dxa"/>
            <w:vAlign w:val="center"/>
          </w:tcPr>
          <w:p w14:paraId="117188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0.038</w:t>
            </w:r>
          </w:p>
        </w:tc>
        <w:tc>
          <w:tcPr>
            <w:tcW w:w="2952" w:type="dxa"/>
            <w:vAlign w:val="center"/>
          </w:tcPr>
          <w:p w14:paraId="24EC96D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0.063 [-0.053, 0.211]</w:t>
            </w:r>
          </w:p>
        </w:tc>
        <w:tc>
          <w:tcPr>
            <w:tcW w:w="1224" w:type="dxa"/>
            <w:vAlign w:val="center"/>
          </w:tcPr>
          <w:p w14:paraId="4B07A0C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0.297</w:t>
            </w:r>
          </w:p>
        </w:tc>
      </w:tr>
      <w:tr w14:paraId="3CB69C1B">
        <w:trPr>
          <w:jc w:val="center"/>
        </w:trPr>
        <w:tc>
          <w:tcPr>
            <w:tcW w:w="2376" w:type="dxa"/>
            <w:vAlign w:val="center"/>
          </w:tcPr>
          <w:p w14:paraId="6457DF37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PCU-OFC FC</w:t>
            </w:r>
          </w:p>
        </w:tc>
        <w:tc>
          <w:tcPr>
            <w:tcW w:w="979" w:type="dxa"/>
            <w:vAlign w:val="center"/>
          </w:tcPr>
          <w:p w14:paraId="50D0571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0.003</w:t>
            </w:r>
          </w:p>
        </w:tc>
        <w:tc>
          <w:tcPr>
            <w:tcW w:w="835" w:type="dxa"/>
            <w:vAlign w:val="center"/>
          </w:tcPr>
          <w:p w14:paraId="50EB4EB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0.451</w:t>
            </w:r>
          </w:p>
        </w:tc>
        <w:tc>
          <w:tcPr>
            <w:tcW w:w="979" w:type="dxa"/>
            <w:vAlign w:val="center"/>
          </w:tcPr>
          <w:p w14:paraId="575F122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12.981</w:t>
            </w:r>
          </w:p>
        </w:tc>
        <w:tc>
          <w:tcPr>
            <w:tcW w:w="835" w:type="dxa"/>
            <w:vAlign w:val="center"/>
          </w:tcPr>
          <w:p w14:paraId="6392B0A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0.026</w:t>
            </w:r>
          </w:p>
        </w:tc>
        <w:tc>
          <w:tcPr>
            <w:tcW w:w="979" w:type="dxa"/>
            <w:vAlign w:val="center"/>
          </w:tcPr>
          <w:p w14:paraId="59852A6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0.606</w:t>
            </w:r>
          </w:p>
        </w:tc>
        <w:tc>
          <w:tcPr>
            <w:tcW w:w="835" w:type="dxa"/>
            <w:vAlign w:val="center"/>
          </w:tcPr>
          <w:p w14:paraId="5B05E86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57B8E59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0.567</w:t>
            </w:r>
          </w:p>
        </w:tc>
        <w:tc>
          <w:tcPr>
            <w:tcW w:w="835" w:type="dxa"/>
            <w:vAlign w:val="center"/>
          </w:tcPr>
          <w:p w14:paraId="70BCD41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0.033</w:t>
            </w:r>
          </w:p>
        </w:tc>
        <w:tc>
          <w:tcPr>
            <w:tcW w:w="2952" w:type="dxa"/>
            <w:vAlign w:val="center"/>
          </w:tcPr>
          <w:p w14:paraId="2B13C5D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0.039 [-0.058, 0.165]</w:t>
            </w:r>
          </w:p>
        </w:tc>
        <w:tc>
          <w:tcPr>
            <w:tcW w:w="1224" w:type="dxa"/>
            <w:vAlign w:val="center"/>
          </w:tcPr>
          <w:p w14:paraId="214ED8D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0.441</w:t>
            </w:r>
          </w:p>
        </w:tc>
      </w:tr>
      <w:tr w14:paraId="4EED96B4">
        <w:trPr>
          <w:jc w:val="center"/>
        </w:trPr>
        <w:tc>
          <w:tcPr>
            <w:tcW w:w="13808" w:type="dxa"/>
            <w:gridSpan w:val="11"/>
            <w:shd w:val="clear" w:color="auto" w:fill="EFEFEF"/>
            <w:vAlign w:val="center"/>
          </w:tcPr>
          <w:p w14:paraId="37E5F2D5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Reverse exploratory mediation: SDS → brain metric → PSQI</w:t>
            </w:r>
          </w:p>
        </w:tc>
      </w:tr>
      <w:tr w14:paraId="7F7451DD">
        <w:trPr>
          <w:jc w:val="center"/>
        </w:trPr>
        <w:tc>
          <w:tcPr>
            <w:tcW w:w="2376" w:type="dxa"/>
            <w:vAlign w:val="center"/>
          </w:tcPr>
          <w:p w14:paraId="630DAC30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0"/>
              </w:rPr>
              <w:t>PCU VMHC</w:t>
            </w:r>
          </w:p>
        </w:tc>
        <w:tc>
          <w:tcPr>
            <w:tcW w:w="979" w:type="dxa"/>
            <w:vAlign w:val="center"/>
          </w:tcPr>
          <w:p w14:paraId="30BCD1F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-0.006</w:t>
            </w:r>
          </w:p>
        </w:tc>
        <w:tc>
          <w:tcPr>
            <w:tcW w:w="835" w:type="dxa"/>
            <w:vAlign w:val="center"/>
          </w:tcPr>
          <w:p w14:paraId="655DEAA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&lt;0.001</w:t>
            </w:r>
          </w:p>
        </w:tc>
        <w:tc>
          <w:tcPr>
            <w:tcW w:w="979" w:type="dxa"/>
            <w:vAlign w:val="center"/>
          </w:tcPr>
          <w:p w14:paraId="7A4DDA3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3.909</w:t>
            </w:r>
          </w:p>
        </w:tc>
        <w:tc>
          <w:tcPr>
            <w:tcW w:w="835" w:type="dxa"/>
            <w:vAlign w:val="center"/>
          </w:tcPr>
          <w:p w14:paraId="13D225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0.009</w:t>
            </w:r>
          </w:p>
        </w:tc>
        <w:tc>
          <w:tcPr>
            <w:tcW w:w="979" w:type="dxa"/>
            <w:vAlign w:val="center"/>
          </w:tcPr>
          <w:p w14:paraId="7598B9C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0.063</w:t>
            </w:r>
          </w:p>
        </w:tc>
        <w:tc>
          <w:tcPr>
            <w:tcW w:w="835" w:type="dxa"/>
            <w:vAlign w:val="center"/>
          </w:tcPr>
          <w:p w14:paraId="0173531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6CAB091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0.088</w:t>
            </w:r>
          </w:p>
        </w:tc>
        <w:tc>
          <w:tcPr>
            <w:tcW w:w="835" w:type="dxa"/>
            <w:vAlign w:val="center"/>
          </w:tcPr>
          <w:p w14:paraId="5639BF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0.003</w:t>
            </w:r>
          </w:p>
        </w:tc>
        <w:tc>
          <w:tcPr>
            <w:tcW w:w="2952" w:type="dxa"/>
            <w:vAlign w:val="center"/>
          </w:tcPr>
          <w:p w14:paraId="452F6B7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-0.025 [-0.050, -0.007]</w:t>
            </w:r>
          </w:p>
        </w:tc>
        <w:tc>
          <w:tcPr>
            <w:tcW w:w="1224" w:type="dxa"/>
            <w:vAlign w:val="center"/>
          </w:tcPr>
          <w:p w14:paraId="732489C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0.003</w:t>
            </w:r>
          </w:p>
        </w:tc>
      </w:tr>
      <w:tr w14:paraId="779D4614">
        <w:trPr>
          <w:jc w:val="center"/>
        </w:trPr>
        <w:tc>
          <w:tcPr>
            <w:tcW w:w="2376" w:type="dxa"/>
            <w:vAlign w:val="center"/>
          </w:tcPr>
          <w:p w14:paraId="02C7FC6B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0"/>
              </w:rPr>
              <w:t>PCU-CAL FC</w:t>
            </w:r>
          </w:p>
        </w:tc>
        <w:tc>
          <w:tcPr>
            <w:tcW w:w="979" w:type="dxa"/>
            <w:vAlign w:val="center"/>
          </w:tcPr>
          <w:p w14:paraId="451C858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0.003</w:t>
            </w:r>
          </w:p>
        </w:tc>
        <w:tc>
          <w:tcPr>
            <w:tcW w:w="835" w:type="dxa"/>
            <w:vAlign w:val="center"/>
          </w:tcPr>
          <w:p w14:paraId="2F04771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0.023</w:t>
            </w:r>
          </w:p>
        </w:tc>
        <w:tc>
          <w:tcPr>
            <w:tcW w:w="979" w:type="dxa"/>
            <w:vAlign w:val="center"/>
          </w:tcPr>
          <w:p w14:paraId="5263AB7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-3.888</w:t>
            </w:r>
          </w:p>
        </w:tc>
        <w:tc>
          <w:tcPr>
            <w:tcW w:w="835" w:type="dxa"/>
            <w:vAlign w:val="center"/>
          </w:tcPr>
          <w:p w14:paraId="153520F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0.026</w:t>
            </w:r>
          </w:p>
        </w:tc>
        <w:tc>
          <w:tcPr>
            <w:tcW w:w="979" w:type="dxa"/>
            <w:vAlign w:val="center"/>
          </w:tcPr>
          <w:p w14:paraId="0FD67D9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0.063</w:t>
            </w:r>
          </w:p>
        </w:tc>
        <w:tc>
          <w:tcPr>
            <w:tcW w:w="835" w:type="dxa"/>
            <w:vAlign w:val="center"/>
          </w:tcPr>
          <w:p w14:paraId="399A053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778BBC2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0.076</w:t>
            </w:r>
          </w:p>
        </w:tc>
        <w:tc>
          <w:tcPr>
            <w:tcW w:w="835" w:type="dxa"/>
            <w:vAlign w:val="center"/>
          </w:tcPr>
          <w:p w14:paraId="146DB3D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0.008</w:t>
            </w:r>
          </w:p>
        </w:tc>
        <w:tc>
          <w:tcPr>
            <w:tcW w:w="2952" w:type="dxa"/>
            <w:vAlign w:val="center"/>
          </w:tcPr>
          <w:p w14:paraId="19557E6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-0.012 [-0.031, -0.001]</w:t>
            </w:r>
          </w:p>
        </w:tc>
        <w:tc>
          <w:tcPr>
            <w:tcW w:w="1224" w:type="dxa"/>
            <w:vAlign w:val="center"/>
          </w:tcPr>
          <w:p w14:paraId="6D81889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0.027</w:t>
            </w:r>
          </w:p>
        </w:tc>
      </w:tr>
      <w:tr w14:paraId="14761F21">
        <w:trPr>
          <w:jc w:val="center"/>
        </w:trPr>
        <w:tc>
          <w:tcPr>
            <w:tcW w:w="2376" w:type="dxa"/>
            <w:vAlign w:val="center"/>
          </w:tcPr>
          <w:p w14:paraId="13932228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PCU-PostC FC</w:t>
            </w:r>
          </w:p>
        </w:tc>
        <w:tc>
          <w:tcPr>
            <w:tcW w:w="979" w:type="dxa"/>
            <w:vAlign w:val="center"/>
          </w:tcPr>
          <w:p w14:paraId="221C3E5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0.005</w:t>
            </w:r>
          </w:p>
        </w:tc>
        <w:tc>
          <w:tcPr>
            <w:tcW w:w="835" w:type="dxa"/>
            <w:vAlign w:val="center"/>
          </w:tcPr>
          <w:p w14:paraId="5339B7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&lt;0.001</w:t>
            </w:r>
          </w:p>
        </w:tc>
        <w:tc>
          <w:tcPr>
            <w:tcW w:w="979" w:type="dxa"/>
            <w:vAlign w:val="center"/>
          </w:tcPr>
          <w:p w14:paraId="0B0EC3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0.986</w:t>
            </w:r>
          </w:p>
        </w:tc>
        <w:tc>
          <w:tcPr>
            <w:tcW w:w="835" w:type="dxa"/>
            <w:vAlign w:val="center"/>
          </w:tcPr>
          <w:p w14:paraId="4CC688C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0.576</w:t>
            </w:r>
          </w:p>
        </w:tc>
        <w:tc>
          <w:tcPr>
            <w:tcW w:w="979" w:type="dxa"/>
            <w:vAlign w:val="center"/>
          </w:tcPr>
          <w:p w14:paraId="24AF753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0.063</w:t>
            </w:r>
          </w:p>
        </w:tc>
        <w:tc>
          <w:tcPr>
            <w:tcW w:w="835" w:type="dxa"/>
            <w:vAlign w:val="center"/>
          </w:tcPr>
          <w:p w14:paraId="52405C9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3468073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0.058</w:t>
            </w:r>
          </w:p>
        </w:tc>
        <w:tc>
          <w:tcPr>
            <w:tcW w:w="835" w:type="dxa"/>
            <w:vAlign w:val="center"/>
          </w:tcPr>
          <w:p w14:paraId="21AD993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0.048</w:t>
            </w:r>
          </w:p>
        </w:tc>
        <w:tc>
          <w:tcPr>
            <w:tcW w:w="2952" w:type="dxa"/>
            <w:vAlign w:val="center"/>
          </w:tcPr>
          <w:p w14:paraId="4830883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0.005 [-0.013, 0.023]</w:t>
            </w:r>
          </w:p>
        </w:tc>
        <w:tc>
          <w:tcPr>
            <w:tcW w:w="1224" w:type="dxa"/>
            <w:vAlign w:val="center"/>
          </w:tcPr>
          <w:p w14:paraId="38CA7D0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0.562</w:t>
            </w:r>
          </w:p>
        </w:tc>
      </w:tr>
      <w:tr w14:paraId="7BC75256">
        <w:trPr>
          <w:jc w:val="center"/>
        </w:trPr>
        <w:tc>
          <w:tcPr>
            <w:tcW w:w="2376" w:type="dxa"/>
            <w:vAlign w:val="center"/>
          </w:tcPr>
          <w:p w14:paraId="42FABAEF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PCU-DLPFC FC</w:t>
            </w:r>
          </w:p>
        </w:tc>
        <w:tc>
          <w:tcPr>
            <w:tcW w:w="979" w:type="dxa"/>
            <w:vAlign w:val="center"/>
          </w:tcPr>
          <w:p w14:paraId="7A0EE39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0.005</w:t>
            </w:r>
          </w:p>
        </w:tc>
        <w:tc>
          <w:tcPr>
            <w:tcW w:w="835" w:type="dxa"/>
            <w:vAlign w:val="center"/>
          </w:tcPr>
          <w:p w14:paraId="3BCEAE2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0.002</w:t>
            </w:r>
          </w:p>
        </w:tc>
        <w:tc>
          <w:tcPr>
            <w:tcW w:w="979" w:type="dxa"/>
            <w:vAlign w:val="center"/>
          </w:tcPr>
          <w:p w14:paraId="24BA034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0.519</w:t>
            </w:r>
          </w:p>
        </w:tc>
        <w:tc>
          <w:tcPr>
            <w:tcW w:w="835" w:type="dxa"/>
            <w:vAlign w:val="center"/>
          </w:tcPr>
          <w:p w14:paraId="0F523D5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0.717</w:t>
            </w:r>
          </w:p>
        </w:tc>
        <w:tc>
          <w:tcPr>
            <w:tcW w:w="979" w:type="dxa"/>
            <w:vAlign w:val="center"/>
          </w:tcPr>
          <w:p w14:paraId="1B8D58D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0.063</w:t>
            </w:r>
          </w:p>
        </w:tc>
        <w:tc>
          <w:tcPr>
            <w:tcW w:w="835" w:type="dxa"/>
            <w:vAlign w:val="center"/>
          </w:tcPr>
          <w:p w14:paraId="33F4FB9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3E2B1B1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0.061</w:t>
            </w:r>
          </w:p>
        </w:tc>
        <w:tc>
          <w:tcPr>
            <w:tcW w:w="835" w:type="dxa"/>
            <w:vAlign w:val="center"/>
          </w:tcPr>
          <w:p w14:paraId="5A8A8CD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0.038</w:t>
            </w:r>
          </w:p>
        </w:tc>
        <w:tc>
          <w:tcPr>
            <w:tcW w:w="2952" w:type="dxa"/>
            <w:vAlign w:val="center"/>
          </w:tcPr>
          <w:p w14:paraId="2733C91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0.003 [-0.012, 0.017]</w:t>
            </w:r>
          </w:p>
        </w:tc>
        <w:tc>
          <w:tcPr>
            <w:tcW w:w="1224" w:type="dxa"/>
            <w:vAlign w:val="center"/>
          </w:tcPr>
          <w:p w14:paraId="4FC3572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0.727</w:t>
            </w:r>
          </w:p>
        </w:tc>
      </w:tr>
      <w:tr w14:paraId="6B66C38F">
        <w:trPr>
          <w:jc w:val="center"/>
        </w:trPr>
        <w:tc>
          <w:tcPr>
            <w:tcW w:w="2376" w:type="dxa"/>
            <w:vAlign w:val="center"/>
          </w:tcPr>
          <w:p w14:paraId="348F8871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PCU-OFC FC</w:t>
            </w:r>
          </w:p>
        </w:tc>
        <w:tc>
          <w:tcPr>
            <w:tcW w:w="979" w:type="dxa"/>
            <w:vAlign w:val="center"/>
          </w:tcPr>
          <w:p w14:paraId="1019BDF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0.003</w:t>
            </w:r>
          </w:p>
        </w:tc>
        <w:tc>
          <w:tcPr>
            <w:tcW w:w="835" w:type="dxa"/>
            <w:vAlign w:val="center"/>
          </w:tcPr>
          <w:p w14:paraId="132713E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0.020</w:t>
            </w:r>
          </w:p>
        </w:tc>
        <w:tc>
          <w:tcPr>
            <w:tcW w:w="979" w:type="dxa"/>
            <w:vAlign w:val="center"/>
          </w:tcPr>
          <w:p w14:paraId="0D4819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0.605</w:t>
            </w:r>
          </w:p>
        </w:tc>
        <w:tc>
          <w:tcPr>
            <w:tcW w:w="835" w:type="dxa"/>
            <w:vAlign w:val="center"/>
          </w:tcPr>
          <w:p w14:paraId="4DCDC3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0.756</w:t>
            </w:r>
          </w:p>
        </w:tc>
        <w:tc>
          <w:tcPr>
            <w:tcW w:w="979" w:type="dxa"/>
            <w:vAlign w:val="center"/>
          </w:tcPr>
          <w:p w14:paraId="3761501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0.063</w:t>
            </w:r>
          </w:p>
        </w:tc>
        <w:tc>
          <w:tcPr>
            <w:tcW w:w="835" w:type="dxa"/>
            <w:vAlign w:val="center"/>
          </w:tcPr>
          <w:p w14:paraId="0154211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0.024</w:t>
            </w:r>
          </w:p>
        </w:tc>
        <w:tc>
          <w:tcPr>
            <w:tcW w:w="979" w:type="dxa"/>
            <w:vAlign w:val="center"/>
          </w:tcPr>
          <w:p w14:paraId="7ED21F2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0.062</w:t>
            </w:r>
          </w:p>
        </w:tc>
        <w:tc>
          <w:tcPr>
            <w:tcW w:w="835" w:type="dxa"/>
            <w:vAlign w:val="center"/>
          </w:tcPr>
          <w:p w14:paraId="33D9700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0.033</w:t>
            </w:r>
          </w:p>
        </w:tc>
        <w:tc>
          <w:tcPr>
            <w:tcW w:w="2952" w:type="dxa"/>
            <w:vAlign w:val="center"/>
          </w:tcPr>
          <w:p w14:paraId="45B6852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0.002 [-0.010, 0.014]</w:t>
            </w:r>
          </w:p>
        </w:tc>
        <w:tc>
          <w:tcPr>
            <w:tcW w:w="1224" w:type="dxa"/>
            <w:vAlign w:val="center"/>
          </w:tcPr>
          <w:p w14:paraId="6A79472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0.746</w:t>
            </w:r>
          </w:p>
        </w:tc>
      </w:tr>
    </w:tbl>
    <w:p w14:paraId="6B449DF4"/>
    <w:p w14:paraId="0DB69A97">
      <w:pPr>
        <w:rPr>
          <w:rFonts w:ascii="Times New Roman" w:hAnsi="Times New Roman" w:eastAsia="Times New Roman"/>
          <w:sz w:val="20"/>
        </w:rPr>
      </w:pPr>
      <w:r>
        <w:rPr>
          <w:rFonts w:ascii="Times New Roman" w:hAnsi="Times New Roman" w:eastAsia="Times New Roman"/>
          <w:sz w:val="20"/>
        </w:rPr>
        <w:t xml:space="preserve">Note. Forward mediation tested the pathway PSQI → brain metric → SDS; reverse mediation tested the pathway SDS → brain metric → PSQI. a denotes the effect of the predictor on the mediator, b denotes the effect of the mediator on the outcome controlling for the predictor, c denotes the total effect of the predictor on the outcome, and c′ denotes the direct effect after accounting for the mediator. Indirect effects were estimated using bootstrap resampling with 95% confidence intervals, adjusted for age, gender, and education. Bootstrap P values correspond to the two-sided significance test of the indirect effect. Significant indirect effects are shown in bold. </w:t>
      </w:r>
      <w:r>
        <w:rPr>
          <w:rFonts w:hint="eastAsia" w:ascii="Times New Roman" w:hAnsi="Times New Roman" w:eastAsia="Times New Roman"/>
          <w:sz w:val="20"/>
        </w:rPr>
        <w:t>Abbreviations: VMHC, Voxel-mirrored homotopic connectivity; BA, Brodmann's area; MNI, Montreal Neurological Institute; MPFC, medial prefrontal cortex; PCU, Precuneus; FC, functional connectivity; DLPFC, drosolateral prefrontal cortex; OFC, orbital frontal cortex</w:t>
      </w:r>
      <w:r>
        <w:rPr>
          <w:rFonts w:hint="eastAsia" w:ascii="Times New Roman" w:hAnsi="Times New Roman" w:eastAsia="宋体"/>
          <w:sz w:val="20"/>
          <w:lang w:val="en-US" w:eastAsia="zh-CN"/>
        </w:rPr>
        <w:t xml:space="preserve">; </w:t>
      </w:r>
      <w:r>
        <w:rPr>
          <w:rFonts w:ascii="Times New Roman" w:hAnsi="Times New Roman" w:eastAsia="Times New Roman"/>
          <w:sz w:val="20"/>
        </w:rPr>
        <w:t>CID</w:t>
      </w:r>
      <w:r>
        <w:rPr>
          <w:rFonts w:hint="default" w:ascii="Times New Roman" w:hAnsi="Times New Roman" w:eastAsia="Times New Roman"/>
          <w:sz w:val="20"/>
          <w:lang w:val="en-US"/>
        </w:rPr>
        <w:t>,</w:t>
      </w:r>
      <w:r>
        <w:rPr>
          <w:rFonts w:ascii="Times New Roman" w:hAnsi="Times New Roman" w:eastAsia="Times New Roman"/>
          <w:sz w:val="20"/>
        </w:rPr>
        <w:t xml:space="preserve"> chronic insomnia disorder; PSQI</w:t>
      </w:r>
      <w:r>
        <w:rPr>
          <w:rFonts w:hint="default" w:ascii="Times New Roman" w:hAnsi="Times New Roman" w:eastAsia="Times New Roman"/>
          <w:sz w:val="20"/>
          <w:lang w:val="en-US"/>
        </w:rPr>
        <w:t>,</w:t>
      </w:r>
      <w:r>
        <w:rPr>
          <w:rFonts w:ascii="Times New Roman" w:hAnsi="Times New Roman" w:eastAsia="Times New Roman"/>
          <w:sz w:val="20"/>
        </w:rPr>
        <w:t xml:space="preserve"> Pittsburgh Sleep Quality Index; SDS</w:t>
      </w:r>
      <w:r>
        <w:rPr>
          <w:rFonts w:hint="default" w:ascii="Times New Roman" w:hAnsi="Times New Roman" w:eastAsia="Times New Roman"/>
          <w:sz w:val="20"/>
          <w:lang w:val="en-US"/>
        </w:rPr>
        <w:t>,</w:t>
      </w:r>
      <w:r>
        <w:rPr>
          <w:rFonts w:ascii="Times New Roman" w:hAnsi="Times New Roman" w:eastAsia="Times New Roman"/>
          <w:sz w:val="20"/>
        </w:rPr>
        <w:t xml:space="preserve"> Self-Rating Depression Scale; CI</w:t>
      </w:r>
      <w:r>
        <w:rPr>
          <w:rFonts w:hint="default" w:ascii="Times New Roman" w:hAnsi="Times New Roman" w:eastAsia="Times New Roman"/>
          <w:sz w:val="20"/>
          <w:lang w:val="en-US"/>
        </w:rPr>
        <w:t xml:space="preserve">, </w:t>
      </w:r>
      <w:r>
        <w:rPr>
          <w:rFonts w:ascii="Times New Roman" w:hAnsi="Times New Roman" w:eastAsia="Times New Roman"/>
          <w:sz w:val="20"/>
        </w:rPr>
        <w:t>confidence interval.</w:t>
      </w:r>
      <w:bookmarkStart w:id="0" w:name="_GoBack"/>
      <w:bookmarkEnd w:id="0"/>
    </w:p>
    <w:p w14:paraId="5F066FA2">
      <w:pPr>
        <w:rPr>
          <w:rFonts w:ascii="Times New Roman" w:hAnsi="Times New Roman" w:eastAsia="Times New Roman"/>
          <w:sz w:val="20"/>
        </w:rPr>
      </w:pPr>
    </w:p>
    <w:p w14:paraId="61311AD8">
      <w:pPr>
        <w:rPr>
          <w:rFonts w:ascii="Times New Roman" w:hAnsi="Times New Roman" w:eastAsia="Times New Roman"/>
          <w:sz w:val="20"/>
        </w:rPr>
      </w:pPr>
    </w:p>
    <w:p w14:paraId="397C14CE">
      <w:pPr>
        <w:rPr>
          <w:rFonts w:ascii="Times New Roman" w:hAnsi="Times New Roman" w:eastAsia="Times New Roman"/>
          <w:sz w:val="20"/>
        </w:rPr>
      </w:pPr>
    </w:p>
    <w:p w14:paraId="7CCCDD9C">
      <w:pPr>
        <w:jc w:val="both"/>
      </w:pPr>
      <w:r>
        <w:drawing>
          <wp:inline distT="0" distB="0" distL="114300" distR="114300">
            <wp:extent cx="5262880" cy="3185160"/>
            <wp:effectExtent l="0" t="0" r="2032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5DD28">
      <w:pPr>
        <w:jc w:val="both"/>
        <w:rPr>
          <w:rFonts w:hint="eastAsia" w:eastAsia="宋体"/>
          <w:lang w:val="en-US" w:eastAsia="zh-CN"/>
        </w:rPr>
      </w:pPr>
      <w:r>
        <w:rPr>
          <w:rFonts w:ascii="Times New Roman" w:hAnsi="Times New Roman" w:eastAsia="Times New Roman"/>
          <w:b/>
          <w:sz w:val="22"/>
        </w:rPr>
        <w:t xml:space="preserve">Figure S1. </w:t>
      </w:r>
      <w:r>
        <w:rPr>
          <w:rFonts w:ascii="Times New Roman" w:hAnsi="Times New Roman" w:eastAsia="Times New Roman"/>
          <w:b w:val="0"/>
          <w:sz w:val="22"/>
        </w:rPr>
        <w:t>Exploratory subgroup partial correlation within the CID-D group between PCU-OFC functional connectivity and SDS after adjustment for age, gender, and education. The regression line and shaded band indicate the fitted association and its 95% confidence interval. This association reached nominal significance but did not survive FDR correction.</w:t>
      </w:r>
      <w:r>
        <w:rPr>
          <w:rFonts w:hint="eastAsia" w:ascii="Times New Roman" w:hAnsi="Times New Roman" w:eastAsia="宋体"/>
          <w:b w:val="0"/>
          <w:sz w:val="22"/>
          <w:lang w:val="en-US" w:eastAsia="zh-CN"/>
        </w:rPr>
        <w:t xml:space="preserve"> Abbreviations: SDS: Self-Rating Depression Scale; PCU, precuneus; OFC, orbitofrontal cortex; FC, functional connectivity.</w:t>
      </w:r>
    </w:p>
    <w:p w14:paraId="0BD3033E">
      <w:pPr>
        <w:rPr>
          <w:rFonts w:ascii="Times New Roman" w:hAnsi="Times New Roman" w:eastAsia="Times New Roman"/>
          <w:sz w:val="20"/>
        </w:rPr>
      </w:pPr>
    </w:p>
    <w:p w14:paraId="23DFCD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3B72521"/>
    <w:rsid w:val="4FCABF9A"/>
    <w:rsid w:val="7BD7F7F2"/>
    <w:rsid w:val="95D2F308"/>
    <w:rsid w:val="B3B72521"/>
    <w:rsid w:val="FB3EA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2026-04-17T08:16:00Z</dcterms:created>
  <dc:creator> </dc:creator>
  <cp:lastModifiedBy> </cp:lastModifiedBy>
  <dcterms:modified xsi:type="dcterms:W3CDTF">2026-04-20T22:03:20Z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CE92B6A606480167540BE169D93B5D38_41</vt:lpwstr>
  </property>
</Properties>
</file>