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F95C" w14:textId="77777777" w:rsidR="009D08A7" w:rsidRPr="00B27C12" w:rsidRDefault="009D08A7" w:rsidP="009D08A7">
      <w:pPr>
        <w:jc w:val="both"/>
        <w:rPr>
          <w:rFonts w:ascii="Calibri Light" w:hAnsi="Calibri Light" w:cs="Calibri Light"/>
          <w:b/>
          <w:bCs/>
          <w:sz w:val="22"/>
        </w:rPr>
      </w:pPr>
      <w:r w:rsidRPr="00B27C12">
        <w:rPr>
          <w:rFonts w:ascii="Calibri Light" w:hAnsi="Calibri Light" w:cs="Calibri Light"/>
          <w:b/>
          <w:bCs/>
          <w:sz w:val="22"/>
        </w:rPr>
        <w:t>Table 1. Minimum Protective Function (MPF) review framework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4317"/>
        <w:gridCol w:w="4318"/>
        <w:gridCol w:w="4315"/>
      </w:tblGrid>
      <w:tr w:rsidR="009D08A7" w:rsidRPr="00B27C12" w14:paraId="14E12A4C" w14:textId="77777777" w:rsidTr="009D0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60F6DF04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Dimension</w:t>
            </w:r>
          </w:p>
        </w:tc>
        <w:tc>
          <w:tcPr>
            <w:tcW w:w="1667" w:type="pct"/>
            <w:vAlign w:val="center"/>
          </w:tcPr>
          <w:p w14:paraId="79D676D1" w14:textId="77777777" w:rsidR="009D08A7" w:rsidRPr="00B27C12" w:rsidRDefault="009D08A7" w:rsidP="009D08A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Guiding question</w:t>
            </w:r>
          </w:p>
        </w:tc>
        <w:tc>
          <w:tcPr>
            <w:tcW w:w="1667" w:type="pct"/>
            <w:vAlign w:val="center"/>
          </w:tcPr>
          <w:p w14:paraId="33992304" w14:textId="77777777" w:rsidR="009D08A7" w:rsidRPr="00B27C12" w:rsidRDefault="009D08A7" w:rsidP="009D08A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Illustrative monitoring prompt</w:t>
            </w:r>
          </w:p>
        </w:tc>
      </w:tr>
      <w:tr w:rsidR="009D08A7" w:rsidRPr="00B27C12" w14:paraId="3B0C02EE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1D2050EC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Safe access</w:t>
            </w:r>
          </w:p>
        </w:tc>
        <w:tc>
          <w:tcPr>
            <w:tcW w:w="1667" w:type="pct"/>
            <w:vAlign w:val="center"/>
          </w:tcPr>
          <w:p w14:paraId="7BCD20C2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Can children reach education or protection-linked sites with sufficient regularity and safety for continuity to be meaningful?</w:t>
            </w:r>
          </w:p>
        </w:tc>
        <w:tc>
          <w:tcPr>
            <w:tcW w:w="1667" w:type="pct"/>
            <w:vAlign w:val="center"/>
          </w:tcPr>
          <w:p w14:paraId="076EA712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Track cancellations, interruptions, route insecurity, and repeated access disruptions rather than site availability alone.</w:t>
            </w:r>
          </w:p>
        </w:tc>
      </w:tr>
      <w:tr w:rsidR="009D08A7" w:rsidRPr="00B27C12" w14:paraId="5468A597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56D93070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Referral continuity</w:t>
            </w:r>
          </w:p>
        </w:tc>
        <w:tc>
          <w:tcPr>
            <w:tcW w:w="1667" w:type="pct"/>
            <w:vAlign w:val="center"/>
          </w:tcPr>
          <w:p w14:paraId="65241991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Do education and community contact points connect to functioning protection feedback loops?</w:t>
            </w:r>
          </w:p>
        </w:tc>
        <w:tc>
          <w:tcPr>
            <w:tcW w:w="1667" w:type="pct"/>
            <w:vAlign w:val="center"/>
          </w:tcPr>
          <w:p w14:paraId="34F5CA8F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Review whether referrals receive follow-up or documented feedback within feasible timeframes.</w:t>
            </w:r>
          </w:p>
        </w:tc>
      </w:tr>
      <w:tr w:rsidR="009D08A7" w:rsidRPr="00B27C12" w14:paraId="412815F3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4DA5834C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Staffing and records</w:t>
            </w:r>
          </w:p>
        </w:tc>
        <w:tc>
          <w:tcPr>
            <w:tcW w:w="1667" w:type="pct"/>
            <w:vAlign w:val="center"/>
          </w:tcPr>
          <w:p w14:paraId="61AAD499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Do trusted adults, basic rosters, case records, and institutional memory remain minimally intact?</w:t>
            </w:r>
          </w:p>
        </w:tc>
        <w:tc>
          <w:tcPr>
            <w:tcW w:w="1667" w:type="pct"/>
            <w:vAlign w:val="center"/>
          </w:tcPr>
          <w:p w14:paraId="71AAD130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Monitor frontline turnover, roster continuity, and loss or disruption of records.</w:t>
            </w:r>
          </w:p>
        </w:tc>
      </w:tr>
      <w:tr w:rsidR="009D08A7" w:rsidRPr="00B27C12" w14:paraId="7F5407FC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39DEDA54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Physical and social infrastructure</w:t>
            </w:r>
          </w:p>
        </w:tc>
        <w:tc>
          <w:tcPr>
            <w:tcW w:w="1667" w:type="pct"/>
            <w:vAlign w:val="center"/>
          </w:tcPr>
          <w:p w14:paraId="356A9432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Do spaces, communications, and trusted adult networks still support protective contact?</w:t>
            </w:r>
          </w:p>
        </w:tc>
        <w:tc>
          <w:tcPr>
            <w:tcW w:w="1667" w:type="pct"/>
            <w:vAlign w:val="center"/>
          </w:tcPr>
          <w:p w14:paraId="54C4072C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Pair facility mapping with practical checks on communication channels and adult presence.</w:t>
            </w:r>
          </w:p>
        </w:tc>
      </w:tr>
      <w:tr w:rsidR="009D08A7" w:rsidRPr="00B27C12" w14:paraId="74625FD4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55C3490E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Local legitimacy</w:t>
            </w:r>
          </w:p>
        </w:tc>
        <w:tc>
          <w:tcPr>
            <w:tcW w:w="1667" w:type="pct"/>
            <w:vAlign w:val="center"/>
          </w:tcPr>
          <w:p w14:paraId="3FD67753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Are continuity-holding actors recognized and trusted locally?</w:t>
            </w:r>
          </w:p>
        </w:tc>
        <w:tc>
          <w:tcPr>
            <w:tcW w:w="1667" w:type="pct"/>
            <w:vAlign w:val="center"/>
          </w:tcPr>
          <w:p w14:paraId="21AC91CE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Use low-burden consultation or partner reporting to assess trust, reachability, and acceptance.</w:t>
            </w:r>
          </w:p>
        </w:tc>
      </w:tr>
      <w:tr w:rsidR="009D08A7" w:rsidRPr="00B27C12" w14:paraId="7AB32D19" w14:textId="77777777" w:rsidTr="009D08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14:paraId="7D03399A" w14:textId="77777777" w:rsidR="009D08A7" w:rsidRPr="00B27C12" w:rsidRDefault="009D08A7" w:rsidP="009D08A7">
            <w:pPr>
              <w:spacing w:line="240" w:lineRule="auto"/>
              <w:jc w:val="center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Public duty-bearing</w:t>
            </w:r>
          </w:p>
        </w:tc>
        <w:tc>
          <w:tcPr>
            <w:tcW w:w="1667" w:type="pct"/>
            <w:vAlign w:val="center"/>
          </w:tcPr>
          <w:p w14:paraId="7FC5D73B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Does any public or quasi-public authority remain linked to recognition, coordination, or safeguarding obligations?</w:t>
            </w:r>
          </w:p>
        </w:tc>
        <w:tc>
          <w:tcPr>
            <w:tcW w:w="1667" w:type="pct"/>
            <w:vAlign w:val="center"/>
          </w:tcPr>
          <w:p w14:paraId="63DEF03D" w14:textId="77777777" w:rsidR="009D08A7" w:rsidRPr="00B27C12" w:rsidRDefault="009D08A7" w:rsidP="009D08A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Track whether records, referrals, recognition, or coordination still connect to public structures, while flagging vacuum or perpetrator alignment where relevant.</w:t>
            </w:r>
          </w:p>
        </w:tc>
      </w:tr>
    </w:tbl>
    <w:p w14:paraId="46D60939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1C2CB457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7A0F1EE8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3121980D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70D3089B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6AFE1300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302BC809" w14:textId="77777777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</w:p>
    <w:p w14:paraId="1AA5BD71" w14:textId="77777777" w:rsidR="009D08A7" w:rsidRPr="00B27C12" w:rsidRDefault="009D08A7" w:rsidP="009D08A7">
      <w:pPr>
        <w:jc w:val="both"/>
        <w:rPr>
          <w:rFonts w:ascii="Calibri Light" w:hAnsi="Calibri Light" w:cs="Calibri Light"/>
          <w:b/>
          <w:bCs/>
          <w:sz w:val="22"/>
        </w:rPr>
      </w:pPr>
      <w:r w:rsidRPr="00B27C12">
        <w:rPr>
          <w:rFonts w:ascii="Calibri Light" w:hAnsi="Calibri Light" w:cs="Calibri Light"/>
          <w:b/>
          <w:bCs/>
          <w:sz w:val="22"/>
        </w:rPr>
        <w:lastRenderedPageBreak/>
        <w:t>Table 2. Rapid MPF traffic-light check for operational triage</w:t>
      </w: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9D08A7" w:rsidRPr="00D124B3" w14:paraId="60A8DEF9" w14:textId="77777777" w:rsidTr="00D12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361460E" w14:textId="77777777" w:rsidR="009D08A7" w:rsidRPr="00D124B3" w:rsidRDefault="009D08A7" w:rsidP="00D124B3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Cs w:val="24"/>
              </w:rPr>
            </w:pPr>
            <w:r w:rsidRPr="00D124B3">
              <w:rPr>
                <w:rFonts w:ascii="Calibri Light" w:hAnsi="Calibri Light" w:cs="Calibri Light"/>
                <w:szCs w:val="24"/>
              </w:rPr>
              <w:t>Classification</w:t>
            </w:r>
          </w:p>
        </w:tc>
        <w:tc>
          <w:tcPr>
            <w:tcW w:w="1250" w:type="pct"/>
            <w:vAlign w:val="center"/>
          </w:tcPr>
          <w:p w14:paraId="25C97528" w14:textId="77777777" w:rsidR="009D08A7" w:rsidRPr="00D124B3" w:rsidRDefault="009D08A7" w:rsidP="00D124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Cs w:val="24"/>
              </w:rPr>
            </w:pPr>
            <w:r w:rsidRPr="00D124B3">
              <w:rPr>
                <w:rFonts w:ascii="Calibri Light" w:hAnsi="Calibri Light" w:cs="Calibri Light"/>
                <w:szCs w:val="24"/>
              </w:rPr>
              <w:t>Indicative condition</w:t>
            </w:r>
          </w:p>
        </w:tc>
        <w:tc>
          <w:tcPr>
            <w:tcW w:w="1250" w:type="pct"/>
            <w:vAlign w:val="center"/>
          </w:tcPr>
          <w:p w14:paraId="3CA052DA" w14:textId="77777777" w:rsidR="009D08A7" w:rsidRPr="00D124B3" w:rsidRDefault="009D08A7" w:rsidP="00D124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Cs w:val="24"/>
              </w:rPr>
            </w:pPr>
            <w:r w:rsidRPr="00D124B3">
              <w:rPr>
                <w:rFonts w:ascii="Calibri Light" w:hAnsi="Calibri Light" w:cs="Calibri Light"/>
                <w:szCs w:val="24"/>
              </w:rPr>
              <w:t>Interpretation</w:t>
            </w:r>
          </w:p>
        </w:tc>
        <w:tc>
          <w:tcPr>
            <w:tcW w:w="1250" w:type="pct"/>
            <w:vAlign w:val="center"/>
          </w:tcPr>
          <w:p w14:paraId="6D974E6F" w14:textId="77777777" w:rsidR="009D08A7" w:rsidRPr="00D124B3" w:rsidRDefault="009D08A7" w:rsidP="00D124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Cs w:val="24"/>
              </w:rPr>
            </w:pPr>
            <w:r w:rsidRPr="00D124B3">
              <w:rPr>
                <w:rFonts w:ascii="Calibri Light" w:hAnsi="Calibri Light" w:cs="Calibri Light"/>
                <w:szCs w:val="24"/>
              </w:rPr>
              <w:t>Immediate action prompt</w:t>
            </w:r>
          </w:p>
        </w:tc>
      </w:tr>
      <w:tr w:rsidR="009D08A7" w:rsidRPr="00B27C12" w14:paraId="4019BDA1" w14:textId="77777777" w:rsidTr="00D12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497EF0F7" w14:textId="77777777" w:rsidR="009D08A7" w:rsidRPr="00B27C12" w:rsidRDefault="009D08A7" w:rsidP="00D124B3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color w:val="00B050"/>
                <w:sz w:val="22"/>
              </w:rPr>
              <w:t>Green</w:t>
            </w:r>
          </w:p>
        </w:tc>
        <w:tc>
          <w:tcPr>
            <w:tcW w:w="1250" w:type="pct"/>
          </w:tcPr>
          <w:p w14:paraId="25EF0CE6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Most MPF dimensions are functioning at a minimally reliable level; disruptions are present but manageable.</w:t>
            </w:r>
          </w:p>
        </w:tc>
        <w:tc>
          <w:tcPr>
            <w:tcW w:w="1250" w:type="pct"/>
          </w:tcPr>
          <w:p w14:paraId="5ECE8CE0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Visible continuity is still plausibly protective.</w:t>
            </w:r>
          </w:p>
        </w:tc>
        <w:tc>
          <w:tcPr>
            <w:tcW w:w="1250" w:type="pct"/>
          </w:tcPr>
          <w:p w14:paraId="34FF457E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Continue with active monitoring; verify that referral feedback, staffing continuity, and local legitimacy remain stable.</w:t>
            </w:r>
          </w:p>
        </w:tc>
      </w:tr>
      <w:tr w:rsidR="009D08A7" w:rsidRPr="00B27C12" w14:paraId="07536911" w14:textId="77777777" w:rsidTr="00D12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368C8E93" w14:textId="77777777" w:rsidR="009D08A7" w:rsidRPr="00B27C12" w:rsidRDefault="009D08A7" w:rsidP="00D124B3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color w:val="FFC000"/>
                <w:sz w:val="22"/>
              </w:rPr>
              <w:t>Amber</w:t>
            </w:r>
          </w:p>
        </w:tc>
        <w:tc>
          <w:tcPr>
            <w:tcW w:w="1250" w:type="pct"/>
          </w:tcPr>
          <w:p w14:paraId="49466303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Two or more MPF dimensions are degrading, or one critical dimension (such as safe access or referral continuity) is becoming unreliable.</w:t>
            </w:r>
          </w:p>
        </w:tc>
        <w:tc>
          <w:tcPr>
            <w:tcW w:w="1250" w:type="pct"/>
          </w:tcPr>
          <w:p w14:paraId="2C513A1D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Continuity is at risk of becoming only nominal.</w:t>
            </w:r>
          </w:p>
        </w:tc>
        <w:tc>
          <w:tcPr>
            <w:tcW w:w="1250" w:type="pct"/>
          </w:tcPr>
          <w:p w14:paraId="432F4413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Redesign quickly: reduce exposure, strengthen referral and communication links, support records continuity, and reassess whether local actors are carrying unsustainable burden.</w:t>
            </w:r>
          </w:p>
        </w:tc>
      </w:tr>
      <w:tr w:rsidR="009D08A7" w:rsidRPr="00B27C12" w14:paraId="3C8BB501" w14:textId="77777777" w:rsidTr="00D12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25F274B0" w14:textId="77777777" w:rsidR="009D08A7" w:rsidRPr="00B27C12" w:rsidRDefault="009D08A7" w:rsidP="00D124B3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color w:val="FF0000"/>
                <w:sz w:val="22"/>
              </w:rPr>
              <w:t>Red</w:t>
            </w:r>
          </w:p>
        </w:tc>
        <w:tc>
          <w:tcPr>
            <w:tcW w:w="1250" w:type="pct"/>
          </w:tcPr>
          <w:p w14:paraId="617350AA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Multiple MPF dimensions are collapsed, or one critical dimension has failed so badly that service activity may create false assumptions of safety.</w:t>
            </w:r>
          </w:p>
        </w:tc>
        <w:tc>
          <w:tcPr>
            <w:tcW w:w="1250" w:type="pct"/>
          </w:tcPr>
          <w:p w14:paraId="1FEA6399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Activity may no longer be protectively meaningful.</w:t>
            </w:r>
          </w:p>
        </w:tc>
        <w:tc>
          <w:tcPr>
            <w:tcW w:w="1250" w:type="pct"/>
          </w:tcPr>
          <w:p w14:paraId="7DFBB640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Pause or radically adapt the activity, document the protection vacuum, shift to remote or community-held safest options where feasible, and do not treat service presence as evidence of protection.</w:t>
            </w:r>
          </w:p>
        </w:tc>
      </w:tr>
      <w:tr w:rsidR="009D08A7" w:rsidRPr="00B27C12" w14:paraId="21076754" w14:textId="77777777" w:rsidTr="00D124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6ABB5AA" w14:textId="77777777" w:rsidR="009D08A7" w:rsidRPr="00B27C12" w:rsidRDefault="009D08A7" w:rsidP="00D124B3">
            <w:pPr>
              <w:spacing w:line="240" w:lineRule="auto"/>
              <w:jc w:val="center"/>
              <w:rPr>
                <w:rFonts w:ascii="Calibri Light" w:hAnsi="Calibri Light" w:cs="Calibri Light"/>
                <w:b w:val="0"/>
                <w:bCs w:val="0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Perpetrator-aligned authority alert</w:t>
            </w:r>
          </w:p>
        </w:tc>
        <w:tc>
          <w:tcPr>
            <w:tcW w:w="1250" w:type="pct"/>
          </w:tcPr>
          <w:p w14:paraId="14650D7B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Any purported public duty-bearing role is controlled by actors complicit in attacks, coercion, or grave protection abuse.</w:t>
            </w:r>
          </w:p>
        </w:tc>
        <w:tc>
          <w:tcPr>
            <w:tcW w:w="1250" w:type="pct"/>
          </w:tcPr>
          <w:p w14:paraId="03C2EF8B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Public linkage is not a protective asset; it is itself a protection risk.</w:t>
            </w:r>
          </w:p>
        </w:tc>
        <w:tc>
          <w:tcPr>
            <w:tcW w:w="1250" w:type="pct"/>
          </w:tcPr>
          <w:p w14:paraId="686C6263" w14:textId="77777777" w:rsidR="009D08A7" w:rsidRPr="00B27C12" w:rsidRDefault="009D08A7" w:rsidP="000B04B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</w:rPr>
            </w:pPr>
            <w:r w:rsidRPr="00B27C12">
              <w:rPr>
                <w:rFonts w:ascii="Calibri Light" w:hAnsi="Calibri Light" w:cs="Calibri Light"/>
                <w:sz w:val="22"/>
              </w:rPr>
              <w:t>Do not normalize engagement as evidence of systems continuity. Document the vacuum or distortion, rely on community-held legitimacy and non-complicit interfaces where feasible, and adapt programming accordingly.</w:t>
            </w:r>
          </w:p>
        </w:tc>
      </w:tr>
    </w:tbl>
    <w:p w14:paraId="471E29B1" w14:textId="77777777" w:rsidR="00D124B3" w:rsidRDefault="00D124B3" w:rsidP="009D08A7">
      <w:pPr>
        <w:jc w:val="both"/>
        <w:rPr>
          <w:rFonts w:ascii="Calibri Light" w:hAnsi="Calibri Light" w:cs="Calibri Light"/>
          <w:sz w:val="22"/>
        </w:rPr>
      </w:pPr>
    </w:p>
    <w:p w14:paraId="751B8E89" w14:textId="6058BB81" w:rsidR="009D08A7" w:rsidRPr="00B27C12" w:rsidRDefault="009D08A7" w:rsidP="009D08A7">
      <w:pPr>
        <w:jc w:val="both"/>
        <w:rPr>
          <w:rFonts w:ascii="Calibri Light" w:hAnsi="Calibri Light" w:cs="Calibri Light"/>
          <w:sz w:val="22"/>
        </w:rPr>
      </w:pPr>
      <w:r w:rsidRPr="00B27C12">
        <w:rPr>
          <w:rFonts w:ascii="Calibri Light" w:hAnsi="Calibri Light" w:cs="Calibri Light"/>
          <w:sz w:val="22"/>
        </w:rPr>
        <w:t>Note: The traffic-light check is a rapid triage aid for operational discussion. It does not replace protection analysis, INEE or CPMS standards, or context-specific risk assessment.</w:t>
      </w:r>
    </w:p>
    <w:p w14:paraId="2BD43CFF" w14:textId="77777777" w:rsidR="00554A47" w:rsidRDefault="00554A47"/>
    <w:sectPr w:rsidR="00554A47" w:rsidSect="009D08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A7"/>
    <w:rsid w:val="000A7E73"/>
    <w:rsid w:val="002B7761"/>
    <w:rsid w:val="003B29C6"/>
    <w:rsid w:val="00554A47"/>
    <w:rsid w:val="007000BA"/>
    <w:rsid w:val="007446DA"/>
    <w:rsid w:val="00777B25"/>
    <w:rsid w:val="009D08A7"/>
    <w:rsid w:val="00D1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C38C0"/>
  <w15:chartTrackingRefBased/>
  <w15:docId w15:val="{EBC5C84F-5D9B-4453-9C5E-2784085E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8A7"/>
    <w:pPr>
      <w:spacing w:after="0" w:line="480" w:lineRule="auto"/>
    </w:pPr>
    <w:rPr>
      <w:rFonts w:ascii="Times New Roman" w:eastAsia="Times New Roman" w:hAnsi="Times New Roman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8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8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8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8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8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8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8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8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8A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8A7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8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D08A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9D08A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2814</Characters>
  <Application>Microsoft Office Word</Application>
  <DocSecurity>0</DocSecurity>
  <Lines>23</Lines>
  <Paragraphs>6</Paragraphs>
  <ScaleCrop>false</ScaleCrop>
  <Company>UNICEF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Hashim Musa</dc:creator>
  <cp:keywords/>
  <dc:description/>
  <cp:lastModifiedBy>Mohamed Hashim Musa</cp:lastModifiedBy>
  <cp:revision>2</cp:revision>
  <dcterms:created xsi:type="dcterms:W3CDTF">2026-06-10T15:30:00Z</dcterms:created>
  <dcterms:modified xsi:type="dcterms:W3CDTF">2026-06-10T15:32:00Z</dcterms:modified>
</cp:coreProperties>
</file>