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94A22" w14:textId="163F22DF" w:rsidR="00DA7F75" w:rsidRPr="0052653D" w:rsidRDefault="00000000">
      <w:pPr>
        <w:spacing w:after="100" w:line="240" w:lineRule="auto"/>
        <w:jc w:val="both"/>
        <w:rPr>
          <w:rFonts w:ascii="Times New Roman" w:eastAsia="Times New Roman" w:hAnsi="Times New Roman" w:cs="Times New Roman" w:hint="cs"/>
          <w:b/>
          <w:bCs/>
          <w:sz w:val="20"/>
          <w:szCs w:val="20"/>
          <w:lang w:val="en-US"/>
        </w:rPr>
      </w:pPr>
      <w:r w:rsidRPr="0052653D">
        <w:rPr>
          <w:rFonts w:ascii="Times New Roman" w:eastAsia="Times New Roman" w:hAnsi="Times New Roman" w:cs="Times New Roman" w:hint="cs"/>
          <w:b/>
          <w:bCs/>
          <w:sz w:val="20"/>
          <w:szCs w:val="20"/>
          <w:lang w:val="en-US"/>
        </w:rPr>
        <w:t>Supplementary Materials</w:t>
      </w:r>
    </w:p>
    <w:p w14:paraId="774DAFD9" w14:textId="77777777" w:rsidR="00DA7F75" w:rsidRPr="0052653D" w:rsidRDefault="00000000">
      <w:pPr>
        <w:spacing w:after="100" w:line="240" w:lineRule="auto"/>
        <w:jc w:val="both"/>
        <w:rPr>
          <w:rFonts w:ascii="Times New Roman" w:eastAsia="Times New Roman" w:hAnsi="Times New Roman" w:cs="Times New Roman" w:hint="cs"/>
          <w:sz w:val="20"/>
          <w:szCs w:val="20"/>
          <w:lang w:val="en-US"/>
        </w:rPr>
      </w:pPr>
      <w:r w:rsidRPr="0052653D">
        <w:rPr>
          <w:rFonts w:ascii="Times New Roman" w:eastAsia="Times New Roman" w:hAnsi="Times New Roman" w:cs="Times New Roman" w:hint="cs"/>
          <w:sz w:val="20"/>
          <w:szCs w:val="20"/>
          <w:lang w:val="en-US"/>
        </w:rPr>
        <w:t>Supplementary Table 1. Model development and ablation history for ToxiPred.</w:t>
      </w:r>
    </w:p>
    <w:tbl>
      <w:tblPr>
        <w:tblStyle w:val="a5"/>
        <w:tblW w:w="955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25"/>
        <w:gridCol w:w="1095"/>
        <w:gridCol w:w="750"/>
        <w:gridCol w:w="6285"/>
      </w:tblGrid>
      <w:tr w:rsidR="00DA7F75" w:rsidRPr="0052653D" w14:paraId="6A615AD6" w14:textId="77777777">
        <w:tc>
          <w:tcPr>
            <w:tcW w:w="1425" w:type="dxa"/>
            <w:tcBorders>
              <w:top w:val="single" w:sz="8" w:space="0" w:color="BFBFBF"/>
              <w:left w:val="single" w:sz="8" w:space="0" w:color="BFBFBF"/>
              <w:bottom w:val="single" w:sz="8" w:space="0" w:color="BFBFBF"/>
              <w:right w:val="single" w:sz="8" w:space="0" w:color="BFBFBF"/>
            </w:tcBorders>
            <w:shd w:val="clear" w:color="auto" w:fill="D9EAF7"/>
            <w:tcMar>
              <w:top w:w="0" w:type="dxa"/>
              <w:left w:w="100" w:type="dxa"/>
              <w:bottom w:w="0" w:type="dxa"/>
              <w:right w:w="100" w:type="dxa"/>
            </w:tcMar>
          </w:tcPr>
          <w:p w14:paraId="7A600C31" w14:textId="77777777" w:rsidR="00DA7F75" w:rsidRPr="0052653D" w:rsidRDefault="00000000">
            <w:pPr>
              <w:jc w:val="both"/>
              <w:rPr>
                <w:rFonts w:ascii="Times New Roman" w:eastAsia="Times New Roman" w:hAnsi="Times New Roman" w:cs="Times New Roman" w:hint="cs"/>
                <w:b/>
                <w:bCs/>
                <w:sz w:val="16"/>
                <w:szCs w:val="16"/>
              </w:rPr>
            </w:pPr>
            <w:r w:rsidRPr="0052653D">
              <w:rPr>
                <w:rFonts w:ascii="Times New Roman" w:eastAsia="Times New Roman" w:hAnsi="Times New Roman" w:cs="Times New Roman" w:hint="cs"/>
                <w:b/>
                <w:bCs/>
                <w:sz w:val="16"/>
                <w:szCs w:val="16"/>
              </w:rPr>
              <w:t>Model family</w:t>
            </w:r>
          </w:p>
        </w:tc>
        <w:tc>
          <w:tcPr>
            <w:tcW w:w="1095" w:type="dxa"/>
            <w:tcBorders>
              <w:top w:val="single" w:sz="8" w:space="0" w:color="BFBFBF"/>
              <w:bottom w:val="single" w:sz="8" w:space="0" w:color="BFBFBF"/>
              <w:right w:val="single" w:sz="8" w:space="0" w:color="BFBFBF"/>
            </w:tcBorders>
            <w:shd w:val="clear" w:color="auto" w:fill="D9EAF7"/>
            <w:tcMar>
              <w:top w:w="0" w:type="dxa"/>
              <w:left w:w="100" w:type="dxa"/>
              <w:bottom w:w="0" w:type="dxa"/>
              <w:right w:w="100" w:type="dxa"/>
            </w:tcMar>
          </w:tcPr>
          <w:p w14:paraId="51C0B773" w14:textId="77777777" w:rsidR="00DA7F75" w:rsidRPr="0052653D" w:rsidRDefault="00000000">
            <w:pPr>
              <w:jc w:val="center"/>
              <w:rPr>
                <w:rFonts w:ascii="Times New Roman" w:eastAsia="Times New Roman" w:hAnsi="Times New Roman" w:cs="Times New Roman" w:hint="cs"/>
                <w:b/>
                <w:bCs/>
                <w:sz w:val="16"/>
                <w:szCs w:val="16"/>
              </w:rPr>
            </w:pPr>
            <w:r w:rsidRPr="0052653D">
              <w:rPr>
                <w:rFonts w:ascii="Times New Roman" w:eastAsia="Times New Roman" w:hAnsi="Times New Roman" w:cs="Times New Roman" w:hint="cs"/>
                <w:b/>
                <w:bCs/>
                <w:sz w:val="16"/>
                <w:szCs w:val="16"/>
              </w:rPr>
              <w:t>OOF r</w:t>
            </w:r>
          </w:p>
        </w:tc>
        <w:tc>
          <w:tcPr>
            <w:tcW w:w="750" w:type="dxa"/>
            <w:tcBorders>
              <w:top w:val="single" w:sz="8" w:space="0" w:color="BFBFBF"/>
              <w:bottom w:val="single" w:sz="8" w:space="0" w:color="BFBFBF"/>
              <w:right w:val="single" w:sz="8" w:space="0" w:color="BFBFBF"/>
            </w:tcBorders>
            <w:shd w:val="clear" w:color="auto" w:fill="D9EAF7"/>
            <w:tcMar>
              <w:top w:w="0" w:type="dxa"/>
              <w:left w:w="100" w:type="dxa"/>
              <w:bottom w:w="0" w:type="dxa"/>
              <w:right w:w="100" w:type="dxa"/>
            </w:tcMar>
          </w:tcPr>
          <w:p w14:paraId="694A9629" w14:textId="77777777" w:rsidR="00DA7F75" w:rsidRPr="0052653D" w:rsidRDefault="00000000">
            <w:pPr>
              <w:jc w:val="center"/>
              <w:rPr>
                <w:rFonts w:ascii="Times New Roman" w:eastAsia="Times New Roman" w:hAnsi="Times New Roman" w:cs="Times New Roman" w:hint="cs"/>
                <w:b/>
                <w:bCs/>
                <w:sz w:val="16"/>
                <w:szCs w:val="16"/>
              </w:rPr>
            </w:pPr>
            <w:r w:rsidRPr="0052653D">
              <w:rPr>
                <w:rFonts w:ascii="Times New Roman" w:eastAsia="Times New Roman" w:hAnsi="Times New Roman" w:cs="Times New Roman" w:hint="cs"/>
                <w:b/>
                <w:bCs/>
                <w:sz w:val="16"/>
                <w:szCs w:val="16"/>
              </w:rPr>
              <w:t>RMSE</w:t>
            </w:r>
          </w:p>
        </w:tc>
        <w:tc>
          <w:tcPr>
            <w:tcW w:w="6285" w:type="dxa"/>
            <w:tcBorders>
              <w:top w:val="single" w:sz="8" w:space="0" w:color="BFBFBF"/>
              <w:bottom w:val="single" w:sz="8" w:space="0" w:color="BFBFBF"/>
              <w:right w:val="single" w:sz="8" w:space="0" w:color="BFBFBF"/>
            </w:tcBorders>
            <w:shd w:val="clear" w:color="auto" w:fill="D9EAF7"/>
            <w:tcMar>
              <w:top w:w="0" w:type="dxa"/>
              <w:left w:w="100" w:type="dxa"/>
              <w:bottom w:w="0" w:type="dxa"/>
              <w:right w:w="100" w:type="dxa"/>
            </w:tcMar>
          </w:tcPr>
          <w:p w14:paraId="6D6F857F" w14:textId="77777777" w:rsidR="00DA7F75" w:rsidRPr="0052653D" w:rsidRDefault="00000000">
            <w:pPr>
              <w:jc w:val="both"/>
              <w:rPr>
                <w:rFonts w:ascii="Times New Roman" w:eastAsia="Times New Roman" w:hAnsi="Times New Roman" w:cs="Times New Roman" w:hint="cs"/>
                <w:b/>
                <w:bCs/>
                <w:sz w:val="16"/>
                <w:szCs w:val="16"/>
              </w:rPr>
            </w:pPr>
            <w:r w:rsidRPr="0052653D">
              <w:rPr>
                <w:rFonts w:ascii="Times New Roman" w:eastAsia="Times New Roman" w:hAnsi="Times New Roman" w:cs="Times New Roman" w:hint="cs"/>
                <w:b/>
                <w:bCs/>
                <w:sz w:val="16"/>
                <w:szCs w:val="16"/>
              </w:rPr>
              <w:t>Optimized hyperparameters</w:t>
            </w:r>
          </w:p>
        </w:tc>
      </w:tr>
      <w:tr w:rsidR="00DA7F75" w:rsidRPr="0052653D" w14:paraId="55D7A00B" w14:textId="77777777">
        <w:trPr>
          <w:trHeight w:val="315"/>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33E6ADC4"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Ridge</w:t>
            </w:r>
          </w:p>
        </w:tc>
        <w:tc>
          <w:tcPr>
            <w:tcW w:w="1095" w:type="dxa"/>
            <w:tcBorders>
              <w:bottom w:val="single" w:sz="8" w:space="0" w:color="BFBFBF"/>
              <w:right w:val="single" w:sz="8" w:space="0" w:color="BFBFBF"/>
            </w:tcBorders>
            <w:tcMar>
              <w:top w:w="0" w:type="dxa"/>
              <w:left w:w="100" w:type="dxa"/>
              <w:bottom w:w="0" w:type="dxa"/>
              <w:right w:w="100" w:type="dxa"/>
            </w:tcMar>
          </w:tcPr>
          <w:p w14:paraId="33A512DE"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0.666</w:t>
            </w:r>
          </w:p>
        </w:tc>
        <w:tc>
          <w:tcPr>
            <w:tcW w:w="750" w:type="dxa"/>
            <w:tcBorders>
              <w:bottom w:val="single" w:sz="8" w:space="0" w:color="BFBFBF"/>
              <w:right w:val="single" w:sz="8" w:space="0" w:color="BFBFBF"/>
            </w:tcBorders>
            <w:tcMar>
              <w:top w:w="0" w:type="dxa"/>
              <w:left w:w="100" w:type="dxa"/>
              <w:bottom w:w="0" w:type="dxa"/>
              <w:right w:w="100" w:type="dxa"/>
            </w:tcMar>
          </w:tcPr>
          <w:p w14:paraId="5ED1A03E"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5.47</w:t>
            </w:r>
          </w:p>
        </w:tc>
        <w:tc>
          <w:tcPr>
            <w:tcW w:w="6285" w:type="dxa"/>
            <w:tcBorders>
              <w:bottom w:val="single" w:sz="8" w:space="0" w:color="BFBFBF"/>
              <w:right w:val="single" w:sz="8" w:space="0" w:color="BFBFBF"/>
            </w:tcBorders>
            <w:tcMar>
              <w:top w:w="0" w:type="dxa"/>
              <w:left w:w="100" w:type="dxa"/>
              <w:bottom w:w="0" w:type="dxa"/>
              <w:right w:w="100" w:type="dxa"/>
            </w:tcMar>
          </w:tcPr>
          <w:p w14:paraId="2AFD634F" w14:textId="77777777" w:rsidR="00DA7F75" w:rsidRPr="0052653D" w:rsidRDefault="00000000">
            <w:pPr>
              <w:jc w:val="both"/>
              <w:rPr>
                <w:rFonts w:ascii="Times New Roman" w:eastAsia="Times New Roman" w:hAnsi="Times New Roman" w:cs="Times New Roman" w:hint="cs"/>
                <w:sz w:val="16"/>
                <w:szCs w:val="16"/>
                <w:lang w:val="en-US"/>
              </w:rPr>
            </w:pPr>
            <w:r w:rsidRPr="0052653D">
              <w:rPr>
                <w:rFonts w:ascii="Times New Roman" w:eastAsia="Times New Roman" w:hAnsi="Times New Roman" w:cs="Times New Roman" w:hint="cs"/>
                <w:sz w:val="16"/>
                <w:szCs w:val="16"/>
                <w:lang w:val="en-US"/>
              </w:rPr>
              <w:t>alpha in {0.1, 1, 10, 30, 100, 300, 1000}; per-tissue alpha selected by inner CV</w:t>
            </w:r>
          </w:p>
        </w:tc>
      </w:tr>
      <w:tr w:rsidR="00DA7F75" w:rsidRPr="0052653D" w14:paraId="56E5451E" w14:textId="77777777">
        <w:trPr>
          <w:trHeight w:val="615"/>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4C23B7BD"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LightGBM</w:t>
            </w:r>
          </w:p>
        </w:tc>
        <w:tc>
          <w:tcPr>
            <w:tcW w:w="1095" w:type="dxa"/>
            <w:tcBorders>
              <w:bottom w:val="single" w:sz="8" w:space="0" w:color="BFBFBF"/>
              <w:right w:val="single" w:sz="8" w:space="0" w:color="BFBFBF"/>
            </w:tcBorders>
            <w:tcMar>
              <w:top w:w="0" w:type="dxa"/>
              <w:left w:w="100" w:type="dxa"/>
              <w:bottom w:w="0" w:type="dxa"/>
              <w:right w:w="100" w:type="dxa"/>
            </w:tcMar>
          </w:tcPr>
          <w:p w14:paraId="114C9D2A"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0.686</w:t>
            </w:r>
          </w:p>
        </w:tc>
        <w:tc>
          <w:tcPr>
            <w:tcW w:w="750" w:type="dxa"/>
            <w:tcBorders>
              <w:bottom w:val="single" w:sz="8" w:space="0" w:color="BFBFBF"/>
              <w:right w:val="single" w:sz="8" w:space="0" w:color="BFBFBF"/>
            </w:tcBorders>
            <w:tcMar>
              <w:top w:w="0" w:type="dxa"/>
              <w:left w:w="100" w:type="dxa"/>
              <w:bottom w:w="0" w:type="dxa"/>
              <w:right w:w="100" w:type="dxa"/>
            </w:tcMar>
          </w:tcPr>
          <w:p w14:paraId="4335FD05"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5.29</w:t>
            </w:r>
          </w:p>
        </w:tc>
        <w:tc>
          <w:tcPr>
            <w:tcW w:w="6285" w:type="dxa"/>
            <w:tcBorders>
              <w:bottom w:val="single" w:sz="8" w:space="0" w:color="BFBFBF"/>
              <w:right w:val="single" w:sz="8" w:space="0" w:color="BFBFBF"/>
            </w:tcBorders>
            <w:tcMar>
              <w:top w:w="0" w:type="dxa"/>
              <w:left w:w="100" w:type="dxa"/>
              <w:bottom w:w="0" w:type="dxa"/>
              <w:right w:w="100" w:type="dxa"/>
            </w:tcMar>
          </w:tcPr>
          <w:p w14:paraId="09387B77" w14:textId="77777777" w:rsidR="00DA7F75" w:rsidRPr="0052653D" w:rsidRDefault="00000000">
            <w:pPr>
              <w:jc w:val="both"/>
              <w:rPr>
                <w:rFonts w:ascii="Times New Roman" w:eastAsia="Times New Roman" w:hAnsi="Times New Roman" w:cs="Times New Roman" w:hint="cs"/>
                <w:sz w:val="16"/>
                <w:szCs w:val="16"/>
                <w:lang w:val="en-US"/>
              </w:rPr>
            </w:pPr>
            <w:r w:rsidRPr="0052653D">
              <w:rPr>
                <w:rFonts w:ascii="Times New Roman" w:eastAsia="Gungsuh" w:hAnsi="Times New Roman" w:cs="Times New Roman" w:hint="cs"/>
                <w:sz w:val="16"/>
                <w:szCs w:val="16"/>
              </w:rPr>
              <w:t xml:space="preserve">11 hyperparameters tuned with Optuna TPE: learning_rate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[0.005, 0.15] log → 0.009; num_leaves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[15, 255] → 156; max_depth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[4, 12] → 5; min_data_in_leaf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[5, 100] → 8; feature_fraction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[0.4, 1.0] → 0.96; bagging_fraction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[0.5, 1.0] → 0.80; bagging_freq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[0, 10] → 7; reg_alpha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[1e-3, 10] log → 0.08; reg_lambda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[1e-3, 10] log → 8.99; min_gain_to_split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[1e-4, 1] log → 0.0045; max_bin </w:t>
            </w:r>
            <w:r w:rsidRPr="0052653D">
              <w:rPr>
                <w:rFonts w:ascii="Cambria Math" w:eastAsia="Gungsuh" w:hAnsi="Cambria Math" w:cs="Cambria Math"/>
                <w:sz w:val="16"/>
                <w:szCs w:val="16"/>
              </w:rPr>
              <w:t>∈</w:t>
            </w:r>
            <w:r w:rsidRPr="0052653D">
              <w:rPr>
                <w:rFonts w:ascii="Times New Roman" w:eastAsia="Gungsuh" w:hAnsi="Times New Roman" w:cs="Times New Roman" w:hint="cs"/>
                <w:sz w:val="16"/>
                <w:szCs w:val="16"/>
              </w:rPr>
              <w:t xml:space="preserve"> [63, 255] → 253. </w:t>
            </w:r>
            <w:r w:rsidRPr="0052653D">
              <w:rPr>
                <w:rFonts w:ascii="Times New Roman" w:eastAsia="Gungsuh" w:hAnsi="Times New Roman" w:cs="Times New Roman" w:hint="cs"/>
                <w:sz w:val="16"/>
                <w:szCs w:val="16"/>
                <w:lang w:val="en-US"/>
              </w:rPr>
              <w:t>Objective = regression_l1; n_estimators per-fold by early stopping (patience 80→200)</w:t>
            </w:r>
          </w:p>
        </w:tc>
      </w:tr>
      <w:tr w:rsidR="00DA7F75" w:rsidRPr="0052653D" w14:paraId="16031BB3" w14:textId="77777777">
        <w:trPr>
          <w:trHeight w:val="465"/>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34997547"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Ridge stack</w:t>
            </w:r>
          </w:p>
        </w:tc>
        <w:tc>
          <w:tcPr>
            <w:tcW w:w="1095" w:type="dxa"/>
            <w:tcBorders>
              <w:bottom w:val="single" w:sz="8" w:space="0" w:color="BFBFBF"/>
              <w:right w:val="single" w:sz="8" w:space="0" w:color="BFBFBF"/>
            </w:tcBorders>
            <w:tcMar>
              <w:top w:w="0" w:type="dxa"/>
              <w:left w:w="100" w:type="dxa"/>
              <w:bottom w:w="0" w:type="dxa"/>
              <w:right w:w="100" w:type="dxa"/>
            </w:tcMar>
          </w:tcPr>
          <w:p w14:paraId="7E34F56A"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0.675</w:t>
            </w:r>
          </w:p>
        </w:tc>
        <w:tc>
          <w:tcPr>
            <w:tcW w:w="750" w:type="dxa"/>
            <w:tcBorders>
              <w:bottom w:val="single" w:sz="8" w:space="0" w:color="BFBFBF"/>
              <w:right w:val="single" w:sz="8" w:space="0" w:color="BFBFBF"/>
            </w:tcBorders>
            <w:tcMar>
              <w:top w:w="0" w:type="dxa"/>
              <w:left w:w="100" w:type="dxa"/>
              <w:bottom w:w="0" w:type="dxa"/>
              <w:right w:w="100" w:type="dxa"/>
            </w:tcMar>
          </w:tcPr>
          <w:p w14:paraId="50B7CE6E"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5.53</w:t>
            </w:r>
          </w:p>
        </w:tc>
        <w:tc>
          <w:tcPr>
            <w:tcW w:w="6285" w:type="dxa"/>
            <w:tcBorders>
              <w:bottom w:val="single" w:sz="8" w:space="0" w:color="BFBFBF"/>
              <w:right w:val="single" w:sz="8" w:space="0" w:color="BFBFBF"/>
            </w:tcBorders>
            <w:tcMar>
              <w:top w:w="0" w:type="dxa"/>
              <w:left w:w="100" w:type="dxa"/>
              <w:bottom w:w="0" w:type="dxa"/>
              <w:right w:w="100" w:type="dxa"/>
            </w:tcMar>
          </w:tcPr>
          <w:p w14:paraId="36773398" w14:textId="77777777" w:rsidR="00DA7F75" w:rsidRPr="0052653D" w:rsidRDefault="00000000">
            <w:pPr>
              <w:jc w:val="both"/>
              <w:rPr>
                <w:rFonts w:ascii="Times New Roman" w:eastAsia="Times New Roman" w:hAnsi="Times New Roman" w:cs="Times New Roman" w:hint="cs"/>
                <w:sz w:val="16"/>
                <w:szCs w:val="16"/>
                <w:lang w:val="en-US"/>
              </w:rPr>
            </w:pPr>
            <w:r w:rsidRPr="0052653D">
              <w:rPr>
                <w:rFonts w:ascii="Times New Roman" w:eastAsia="Times New Roman" w:hAnsi="Times New Roman" w:cs="Times New Roman" w:hint="cs"/>
                <w:sz w:val="16"/>
                <w:szCs w:val="16"/>
                <w:lang w:val="en-US"/>
              </w:rPr>
              <w:t>per-tissue base alpha, as above, plus stacker alpha in {0.1, 1, 10, 100}; isotonic-vs-linear stacker selected by inner CV</w:t>
            </w:r>
          </w:p>
        </w:tc>
      </w:tr>
      <w:tr w:rsidR="00DA7F75" w:rsidRPr="0052653D" w14:paraId="6EFBEF53" w14:textId="77777777">
        <w:trPr>
          <w:trHeight w:val="465"/>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104A4E77"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Factorization machine</w:t>
            </w:r>
          </w:p>
        </w:tc>
        <w:tc>
          <w:tcPr>
            <w:tcW w:w="1095" w:type="dxa"/>
            <w:tcBorders>
              <w:bottom w:val="single" w:sz="8" w:space="0" w:color="BFBFBF"/>
              <w:right w:val="single" w:sz="8" w:space="0" w:color="BFBFBF"/>
            </w:tcBorders>
            <w:tcMar>
              <w:top w:w="0" w:type="dxa"/>
              <w:left w:w="100" w:type="dxa"/>
              <w:bottom w:w="0" w:type="dxa"/>
              <w:right w:w="100" w:type="dxa"/>
            </w:tcMar>
          </w:tcPr>
          <w:p w14:paraId="0DB0D3B2"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0.716</w:t>
            </w:r>
          </w:p>
        </w:tc>
        <w:tc>
          <w:tcPr>
            <w:tcW w:w="750" w:type="dxa"/>
            <w:tcBorders>
              <w:bottom w:val="single" w:sz="8" w:space="0" w:color="BFBFBF"/>
              <w:right w:val="single" w:sz="8" w:space="0" w:color="BFBFBF"/>
            </w:tcBorders>
            <w:tcMar>
              <w:top w:w="0" w:type="dxa"/>
              <w:left w:w="100" w:type="dxa"/>
              <w:bottom w:w="0" w:type="dxa"/>
              <w:right w:w="100" w:type="dxa"/>
            </w:tcMar>
          </w:tcPr>
          <w:p w14:paraId="53B60A70"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5.09</w:t>
            </w:r>
          </w:p>
        </w:tc>
        <w:tc>
          <w:tcPr>
            <w:tcW w:w="6285" w:type="dxa"/>
            <w:tcBorders>
              <w:bottom w:val="single" w:sz="8" w:space="0" w:color="BFBFBF"/>
              <w:right w:val="single" w:sz="8" w:space="0" w:color="BFBFBF"/>
            </w:tcBorders>
            <w:tcMar>
              <w:top w:w="0" w:type="dxa"/>
              <w:left w:w="100" w:type="dxa"/>
              <w:bottom w:w="0" w:type="dxa"/>
              <w:right w:w="100" w:type="dxa"/>
            </w:tcMar>
          </w:tcPr>
          <w:p w14:paraId="09BB3C10" w14:textId="77777777" w:rsidR="00DA7F75" w:rsidRPr="0052653D" w:rsidRDefault="00000000">
            <w:pPr>
              <w:jc w:val="both"/>
              <w:rPr>
                <w:rFonts w:ascii="Times New Roman" w:eastAsia="Times New Roman" w:hAnsi="Times New Roman" w:cs="Times New Roman" w:hint="cs"/>
                <w:sz w:val="16"/>
                <w:szCs w:val="16"/>
                <w:lang w:val="en-US"/>
              </w:rPr>
            </w:pPr>
            <w:r w:rsidRPr="0052653D">
              <w:rPr>
                <w:rFonts w:ascii="Times New Roman" w:eastAsia="Times New Roman" w:hAnsi="Times New Roman" w:cs="Times New Roman" w:hint="cs"/>
                <w:sz w:val="16"/>
                <w:szCs w:val="16"/>
                <w:lang w:val="en-US"/>
              </w:rPr>
              <w:t>rank in {8, 16, 32, 64}; lr in {1e-3, 5e-3}; reg_w in {1e-4, 1e-3}; reg_v in {1e-4, 1e-3}; n_epochs with early stopping</w:t>
            </w:r>
          </w:p>
        </w:tc>
      </w:tr>
      <w:tr w:rsidR="00DA7F75" w:rsidRPr="0052653D" w14:paraId="20C4980D" w14:textId="77777777">
        <w:trPr>
          <w:trHeight w:val="408"/>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52194839"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LightGBM residual</w:t>
            </w:r>
          </w:p>
        </w:tc>
        <w:tc>
          <w:tcPr>
            <w:tcW w:w="1095" w:type="dxa"/>
            <w:tcBorders>
              <w:bottom w:val="single" w:sz="8" w:space="0" w:color="BFBFBF"/>
              <w:right w:val="single" w:sz="8" w:space="0" w:color="BFBFBF"/>
            </w:tcBorders>
            <w:tcMar>
              <w:top w:w="0" w:type="dxa"/>
              <w:left w:w="100" w:type="dxa"/>
              <w:bottom w:w="0" w:type="dxa"/>
              <w:right w:w="100" w:type="dxa"/>
            </w:tcMar>
          </w:tcPr>
          <w:p w14:paraId="2EF4A353"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0.698</w:t>
            </w:r>
          </w:p>
        </w:tc>
        <w:tc>
          <w:tcPr>
            <w:tcW w:w="750" w:type="dxa"/>
            <w:tcBorders>
              <w:bottom w:val="single" w:sz="8" w:space="0" w:color="BFBFBF"/>
              <w:right w:val="single" w:sz="8" w:space="0" w:color="BFBFBF"/>
            </w:tcBorders>
            <w:tcMar>
              <w:top w:w="0" w:type="dxa"/>
              <w:left w:w="100" w:type="dxa"/>
              <w:bottom w:w="0" w:type="dxa"/>
              <w:right w:w="100" w:type="dxa"/>
            </w:tcMar>
          </w:tcPr>
          <w:p w14:paraId="7A2A8137"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5.31</w:t>
            </w:r>
          </w:p>
        </w:tc>
        <w:tc>
          <w:tcPr>
            <w:tcW w:w="6285" w:type="dxa"/>
            <w:tcBorders>
              <w:bottom w:val="single" w:sz="8" w:space="0" w:color="BFBFBF"/>
              <w:right w:val="single" w:sz="8" w:space="0" w:color="BFBFBF"/>
            </w:tcBorders>
            <w:tcMar>
              <w:top w:w="0" w:type="dxa"/>
              <w:left w:w="100" w:type="dxa"/>
              <w:bottom w:w="0" w:type="dxa"/>
              <w:right w:w="100" w:type="dxa"/>
            </w:tcMar>
          </w:tcPr>
          <w:p w14:paraId="4BAC018F" w14:textId="77777777" w:rsidR="00DA7F75" w:rsidRPr="0052653D" w:rsidRDefault="00000000">
            <w:pPr>
              <w:jc w:val="both"/>
              <w:rPr>
                <w:rFonts w:ascii="Times New Roman" w:eastAsia="Times New Roman" w:hAnsi="Times New Roman" w:cs="Times New Roman" w:hint="cs"/>
                <w:sz w:val="16"/>
                <w:szCs w:val="16"/>
                <w:lang w:val="en-US"/>
              </w:rPr>
            </w:pPr>
            <w:r w:rsidRPr="0052653D">
              <w:rPr>
                <w:rFonts w:ascii="Times New Roman" w:eastAsia="Gungsuh" w:hAnsi="Times New Roman" w:cs="Times New Roman" w:hint="cs"/>
                <w:sz w:val="16"/>
                <w:szCs w:val="16"/>
                <w:lang w:val="en-US"/>
              </w:rPr>
              <w:t xml:space="preserve">same LightGBM Optuna search as above, fit on Ridge residuals; residual-blend weight </w:t>
            </w:r>
            <w:r w:rsidRPr="0052653D">
              <w:rPr>
                <w:rFonts w:ascii="Cambria Math" w:eastAsia="Gungsuh" w:hAnsi="Cambria Math" w:cs="Cambria Math"/>
                <w:sz w:val="16"/>
                <w:szCs w:val="16"/>
                <w:lang w:val="en-US"/>
              </w:rPr>
              <w:t>∈</w:t>
            </w:r>
            <w:r w:rsidRPr="0052653D">
              <w:rPr>
                <w:rFonts w:ascii="Times New Roman" w:eastAsia="Gungsuh" w:hAnsi="Times New Roman" w:cs="Times New Roman" w:hint="cs"/>
                <w:sz w:val="16"/>
                <w:szCs w:val="16"/>
                <w:lang w:val="en-US"/>
              </w:rPr>
              <w:t xml:space="preserve"> {0.5, 0.7, 1.0}</w:t>
            </w:r>
          </w:p>
        </w:tc>
      </w:tr>
      <w:tr w:rsidR="00DA7F75" w:rsidRPr="0052653D" w14:paraId="53D06DEB" w14:textId="77777777">
        <w:trPr>
          <w:trHeight w:val="765"/>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310A010B"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Pathway bottleneck D70 (final)</w:t>
            </w:r>
          </w:p>
        </w:tc>
        <w:tc>
          <w:tcPr>
            <w:tcW w:w="1095" w:type="dxa"/>
            <w:tcBorders>
              <w:bottom w:val="single" w:sz="8" w:space="0" w:color="BFBFBF"/>
              <w:right w:val="single" w:sz="8" w:space="0" w:color="BFBFBF"/>
            </w:tcBorders>
            <w:tcMar>
              <w:top w:w="0" w:type="dxa"/>
              <w:left w:w="100" w:type="dxa"/>
              <w:bottom w:w="0" w:type="dxa"/>
              <w:right w:w="100" w:type="dxa"/>
            </w:tcMar>
          </w:tcPr>
          <w:p w14:paraId="67D6C010"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0.733</w:t>
            </w:r>
          </w:p>
        </w:tc>
        <w:tc>
          <w:tcPr>
            <w:tcW w:w="750" w:type="dxa"/>
            <w:tcBorders>
              <w:bottom w:val="single" w:sz="8" w:space="0" w:color="BFBFBF"/>
              <w:right w:val="single" w:sz="8" w:space="0" w:color="BFBFBF"/>
            </w:tcBorders>
            <w:tcMar>
              <w:top w:w="0" w:type="dxa"/>
              <w:left w:w="100" w:type="dxa"/>
              <w:bottom w:w="0" w:type="dxa"/>
              <w:right w:w="100" w:type="dxa"/>
            </w:tcMar>
          </w:tcPr>
          <w:p w14:paraId="34930114"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5.02</w:t>
            </w:r>
          </w:p>
        </w:tc>
        <w:tc>
          <w:tcPr>
            <w:tcW w:w="6285" w:type="dxa"/>
            <w:tcBorders>
              <w:bottom w:val="single" w:sz="8" w:space="0" w:color="BFBFBF"/>
              <w:right w:val="single" w:sz="8" w:space="0" w:color="BFBFBF"/>
            </w:tcBorders>
            <w:tcMar>
              <w:top w:w="0" w:type="dxa"/>
              <w:left w:w="100" w:type="dxa"/>
              <w:bottom w:w="0" w:type="dxa"/>
              <w:right w:w="100" w:type="dxa"/>
            </w:tcMar>
          </w:tcPr>
          <w:p w14:paraId="069D18E3" w14:textId="77777777" w:rsidR="00DA7F75" w:rsidRPr="0052653D" w:rsidRDefault="00000000">
            <w:pPr>
              <w:jc w:val="both"/>
              <w:rPr>
                <w:rFonts w:ascii="Times New Roman" w:eastAsia="Times New Roman" w:hAnsi="Times New Roman" w:cs="Times New Roman" w:hint="cs"/>
                <w:sz w:val="16"/>
                <w:szCs w:val="16"/>
                <w:lang w:val="en-US"/>
              </w:rPr>
            </w:pPr>
            <w:r w:rsidRPr="0052653D">
              <w:rPr>
                <w:rFonts w:ascii="Times New Roman" w:eastAsia="Times New Roman" w:hAnsi="Times New Roman" w:cs="Times New Roman" w:hint="cs"/>
                <w:sz w:val="16"/>
                <w:szCs w:val="16"/>
                <w:lang w:val="en-US"/>
              </w:rPr>
              <w:t>P = 70, selected by sweep over P in {40, 48, 50, 62, 63, 70, 100, 150, 300, 500}; same encoder-shortcut-decoder topology as D50; SmoothL1 loss; AdamW lr 5e-4, weight_decay 1e-3, dropout 0.3, batch 128, cosine schedule, grad_clip 5, epochs 180; 5-seed ensemble</w:t>
            </w:r>
          </w:p>
        </w:tc>
      </w:tr>
      <w:tr w:rsidR="00DA7F75" w:rsidRPr="0052653D" w14:paraId="2B8D84A5" w14:textId="77777777">
        <w:trPr>
          <w:trHeight w:val="765"/>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7E15A5B6" w14:textId="77777777" w:rsidR="00DA7F75" w:rsidRPr="0052653D" w:rsidRDefault="00000000">
            <w:pPr>
              <w:jc w:val="both"/>
              <w:rPr>
                <w:rFonts w:ascii="Times New Roman" w:eastAsia="Times New Roman" w:hAnsi="Times New Roman" w:cs="Times New Roman" w:hint="cs"/>
                <w:sz w:val="16"/>
                <w:szCs w:val="16"/>
                <w:lang w:val="en-US"/>
              </w:rPr>
            </w:pPr>
            <w:r w:rsidRPr="0052653D">
              <w:rPr>
                <w:rFonts w:ascii="Times New Roman" w:eastAsia="Times New Roman" w:hAnsi="Times New Roman" w:cs="Times New Roman" w:hint="cs"/>
                <w:sz w:val="16"/>
                <w:szCs w:val="16"/>
                <w:lang w:val="en-US"/>
              </w:rPr>
              <w:t>Pathway bottleneck D70, interaction-operator ablation</w:t>
            </w:r>
          </w:p>
        </w:tc>
        <w:tc>
          <w:tcPr>
            <w:tcW w:w="1095" w:type="dxa"/>
            <w:tcBorders>
              <w:bottom w:val="single" w:sz="8" w:space="0" w:color="BFBFBF"/>
              <w:right w:val="single" w:sz="8" w:space="0" w:color="BFBFBF"/>
            </w:tcBorders>
            <w:tcMar>
              <w:top w:w="0" w:type="dxa"/>
              <w:left w:w="100" w:type="dxa"/>
              <w:bottom w:w="0" w:type="dxa"/>
              <w:right w:w="100" w:type="dxa"/>
            </w:tcMar>
          </w:tcPr>
          <w:p w14:paraId="1F83330D"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0.723-0.736</w:t>
            </w:r>
          </w:p>
        </w:tc>
        <w:tc>
          <w:tcPr>
            <w:tcW w:w="750" w:type="dxa"/>
            <w:tcBorders>
              <w:bottom w:val="single" w:sz="8" w:space="0" w:color="BFBFBF"/>
              <w:right w:val="single" w:sz="8" w:space="0" w:color="BFBFBF"/>
            </w:tcBorders>
            <w:tcMar>
              <w:top w:w="0" w:type="dxa"/>
              <w:left w:w="100" w:type="dxa"/>
              <w:bottom w:w="0" w:type="dxa"/>
              <w:right w:w="100" w:type="dxa"/>
            </w:tcMar>
          </w:tcPr>
          <w:p w14:paraId="074A3DD6"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5.06</w:t>
            </w:r>
          </w:p>
        </w:tc>
        <w:tc>
          <w:tcPr>
            <w:tcW w:w="6285" w:type="dxa"/>
            <w:tcBorders>
              <w:bottom w:val="single" w:sz="8" w:space="0" w:color="BFBFBF"/>
              <w:right w:val="single" w:sz="8" w:space="0" w:color="BFBFBF"/>
            </w:tcBorders>
            <w:tcMar>
              <w:top w:w="0" w:type="dxa"/>
              <w:left w:w="100" w:type="dxa"/>
              <w:bottom w:w="0" w:type="dxa"/>
              <w:right w:w="100" w:type="dxa"/>
            </w:tcMar>
          </w:tcPr>
          <w:p w14:paraId="4632F27D"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lang w:val="en-US"/>
              </w:rPr>
              <w:t xml:space="preserve">At the deployed P=70 architecture, four drug × tissue interaction operators were compared under matched training: Hadamard (deployed, 0.733), sum interaction (0.736), bilinear (0.734), concat-MLP (0.723). </w:t>
            </w:r>
            <w:r w:rsidRPr="0052653D">
              <w:rPr>
                <w:rFonts w:ascii="Times New Roman" w:eastAsia="Times New Roman" w:hAnsi="Times New Roman" w:cs="Times New Roman" w:hint="cs"/>
                <w:sz w:val="16"/>
                <w:szCs w:val="16"/>
              </w:rPr>
              <w:t>Sum, bilinear and Hadamard tied within seed variance (ΔR &lt; 0.005); concat-MLP overfit on hard folds. The final 70-pathway Hadamard interaction model was selected because it matched the best-performing interaction operators within seed-level variation while preserving direct pathway-wise interpretability.</w:t>
            </w:r>
          </w:p>
        </w:tc>
      </w:tr>
      <w:tr w:rsidR="00DA7F75" w:rsidRPr="0052653D" w14:paraId="2156FE69" w14:textId="77777777">
        <w:trPr>
          <w:trHeight w:val="484"/>
        </w:trPr>
        <w:tc>
          <w:tcPr>
            <w:tcW w:w="1425" w:type="dxa"/>
            <w:tcBorders>
              <w:left w:val="single" w:sz="8" w:space="0" w:color="BFBFBF"/>
              <w:bottom w:val="single" w:sz="8" w:space="0" w:color="BFBFBF"/>
              <w:right w:val="single" w:sz="8" w:space="0" w:color="BFBFBF"/>
            </w:tcBorders>
            <w:tcMar>
              <w:top w:w="0" w:type="dxa"/>
              <w:left w:w="100" w:type="dxa"/>
              <w:bottom w:w="0" w:type="dxa"/>
              <w:right w:w="100" w:type="dxa"/>
            </w:tcMar>
          </w:tcPr>
          <w:p w14:paraId="6F26829C"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Pathway bottleneck D70, gene-level ablation</w:t>
            </w:r>
          </w:p>
        </w:tc>
        <w:tc>
          <w:tcPr>
            <w:tcW w:w="1095" w:type="dxa"/>
            <w:tcBorders>
              <w:bottom w:val="single" w:sz="8" w:space="0" w:color="BFBFBF"/>
              <w:right w:val="single" w:sz="8" w:space="0" w:color="BFBFBF"/>
            </w:tcBorders>
            <w:tcMar>
              <w:top w:w="0" w:type="dxa"/>
              <w:left w:w="100" w:type="dxa"/>
              <w:bottom w:w="0" w:type="dxa"/>
              <w:right w:w="100" w:type="dxa"/>
            </w:tcMar>
          </w:tcPr>
          <w:p w14:paraId="336D7E41"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0.36-0.42</w:t>
            </w:r>
          </w:p>
        </w:tc>
        <w:tc>
          <w:tcPr>
            <w:tcW w:w="750" w:type="dxa"/>
            <w:tcBorders>
              <w:bottom w:val="single" w:sz="8" w:space="0" w:color="BFBFBF"/>
              <w:right w:val="single" w:sz="8" w:space="0" w:color="BFBFBF"/>
            </w:tcBorders>
            <w:tcMar>
              <w:top w:w="0" w:type="dxa"/>
              <w:left w:w="100" w:type="dxa"/>
              <w:bottom w:w="0" w:type="dxa"/>
              <w:right w:w="100" w:type="dxa"/>
            </w:tcMar>
          </w:tcPr>
          <w:p w14:paraId="0A914687" w14:textId="77777777" w:rsidR="00DA7F75" w:rsidRPr="0052653D" w:rsidRDefault="00000000">
            <w:pPr>
              <w:jc w:val="center"/>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6.7-7.07</w:t>
            </w:r>
          </w:p>
        </w:tc>
        <w:tc>
          <w:tcPr>
            <w:tcW w:w="6285" w:type="dxa"/>
            <w:tcBorders>
              <w:bottom w:val="single" w:sz="8" w:space="0" w:color="BFBFBF"/>
              <w:right w:val="single" w:sz="8" w:space="0" w:color="BFBFBF"/>
            </w:tcBorders>
            <w:tcMar>
              <w:top w:w="0" w:type="dxa"/>
              <w:left w:w="100" w:type="dxa"/>
              <w:bottom w:w="0" w:type="dxa"/>
              <w:right w:w="100" w:type="dxa"/>
            </w:tcMar>
          </w:tcPr>
          <w:p w14:paraId="024B6464" w14:textId="77777777" w:rsidR="00DA7F75" w:rsidRPr="0052653D" w:rsidRDefault="00000000">
            <w:pPr>
              <w:jc w:val="both"/>
              <w:rPr>
                <w:rFonts w:ascii="Times New Roman" w:eastAsia="Times New Roman" w:hAnsi="Times New Roman" w:cs="Times New Roman" w:hint="cs"/>
                <w:sz w:val="16"/>
                <w:szCs w:val="16"/>
              </w:rPr>
            </w:pPr>
            <w:r w:rsidRPr="0052653D">
              <w:rPr>
                <w:rFonts w:ascii="Times New Roman" w:eastAsia="Gungsuh" w:hAnsi="Times New Roman" w:cs="Times New Roman" w:hint="cs"/>
                <w:sz w:val="16"/>
                <w:szCs w:val="16"/>
              </w:rPr>
              <w:t>Pathway dictionary bypassed and encoder fed raw per-gene LINCS L1000 ∩ Tahoe rank vectors (~875 genes) directly under matched drug-disjoint CV: per-gene cross-interaction (r = 0.416, RMSE = 6.70), per-gene attention concat (r = 0.377, RMSE = 6.91), per-gene attention Hadamard (r = 0.357, RMSE = 7.07). Pathway aggregation outperformed gene-level representations by Δr ≈ +0.30 and ΔRMSE ≈ -1.6 to -2.0. Indicates the curated pathway dictionary is an information-preserving inductive bias, not merely dimensional summary.</w:t>
            </w:r>
          </w:p>
        </w:tc>
      </w:tr>
    </w:tbl>
    <w:p w14:paraId="216AD0D3" w14:textId="77777777" w:rsidR="00DA7F75" w:rsidRPr="0052653D" w:rsidRDefault="00000000">
      <w:pPr>
        <w:spacing w:after="100" w:line="240" w:lineRule="auto"/>
        <w:jc w:val="both"/>
        <w:rPr>
          <w:rFonts w:ascii="Times New Roman" w:eastAsia="Times New Roman" w:hAnsi="Times New Roman" w:cs="Times New Roman" w:hint="cs"/>
          <w:sz w:val="16"/>
          <w:szCs w:val="16"/>
        </w:rPr>
      </w:pPr>
      <w:r w:rsidRPr="0052653D">
        <w:rPr>
          <w:rFonts w:ascii="Times New Roman" w:eastAsia="Times New Roman" w:hAnsi="Times New Roman" w:cs="Times New Roman" w:hint="cs"/>
          <w:sz w:val="16"/>
          <w:szCs w:val="16"/>
        </w:rPr>
        <w:t xml:space="preserve"> </w:t>
      </w:r>
    </w:p>
    <w:p w14:paraId="19D9EE7E" w14:textId="77777777" w:rsidR="00DA7F75" w:rsidRPr="0052653D" w:rsidRDefault="00DA7F75">
      <w:pPr>
        <w:spacing w:after="100" w:line="240" w:lineRule="auto"/>
        <w:jc w:val="both"/>
        <w:rPr>
          <w:rFonts w:ascii="Times New Roman" w:eastAsia="Times New Roman" w:hAnsi="Times New Roman" w:cs="Times New Roman" w:hint="cs"/>
          <w:sz w:val="20"/>
          <w:szCs w:val="20"/>
        </w:rPr>
      </w:pPr>
    </w:p>
    <w:p w14:paraId="589F2852"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sz w:val="20"/>
          <w:szCs w:val="20"/>
        </w:rPr>
        <w:t xml:space="preserve"> </w:t>
      </w:r>
    </w:p>
    <w:p w14:paraId="6CDAB5BE"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sz w:val="20"/>
          <w:szCs w:val="20"/>
        </w:rPr>
        <w:t xml:space="preserve"> </w:t>
      </w:r>
    </w:p>
    <w:p w14:paraId="1D7B1FB4"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b/>
          <w:bCs/>
          <w:sz w:val="20"/>
          <w:szCs w:val="20"/>
        </w:rPr>
        <w:t xml:space="preserve">Supplementary Table 2 | Antibacterial activity counter-screening across four bacterial isolates. </w:t>
      </w:r>
      <w:r w:rsidRPr="0052653D">
        <w:rPr>
          <w:rFonts w:ascii="Times New Roman" w:eastAsia="Times New Roman" w:hAnsi="Times New Roman" w:cs="Times New Roman" w:hint="cs"/>
          <w:sz w:val="20"/>
          <w:szCs w:val="20"/>
        </w:rPr>
        <w:t xml:space="preserve">Drug sensitivity scores were measured against </w:t>
      </w:r>
      <w:r w:rsidRPr="0052653D">
        <w:rPr>
          <w:rFonts w:ascii="Times New Roman" w:eastAsia="Times New Roman" w:hAnsi="Times New Roman" w:cs="Times New Roman" w:hint="cs"/>
          <w:i/>
          <w:iCs/>
          <w:sz w:val="20"/>
          <w:szCs w:val="20"/>
        </w:rPr>
        <w:t>E. coli</w:t>
      </w:r>
      <w:r w:rsidRPr="0052653D">
        <w:rPr>
          <w:rFonts w:ascii="Times New Roman" w:eastAsia="Times New Roman" w:hAnsi="Times New Roman" w:cs="Times New Roman" w:hint="cs"/>
          <w:sz w:val="20"/>
          <w:szCs w:val="20"/>
        </w:rPr>
        <w:t xml:space="preserve">, </w:t>
      </w:r>
      <w:r w:rsidRPr="0052653D">
        <w:rPr>
          <w:rFonts w:ascii="Times New Roman" w:eastAsia="Times New Roman" w:hAnsi="Times New Roman" w:cs="Times New Roman" w:hint="cs"/>
          <w:i/>
          <w:iCs/>
          <w:sz w:val="20"/>
          <w:szCs w:val="20"/>
        </w:rPr>
        <w:t>P. aeruginosa</w:t>
      </w:r>
      <w:r w:rsidRPr="0052653D">
        <w:rPr>
          <w:rFonts w:ascii="Times New Roman" w:eastAsia="Times New Roman" w:hAnsi="Times New Roman" w:cs="Times New Roman" w:hint="cs"/>
          <w:sz w:val="20"/>
          <w:szCs w:val="20"/>
        </w:rPr>
        <w:t xml:space="preserve">, </w:t>
      </w:r>
      <w:r w:rsidRPr="0052653D">
        <w:rPr>
          <w:rFonts w:ascii="Times New Roman" w:eastAsia="Times New Roman" w:hAnsi="Times New Roman" w:cs="Times New Roman" w:hint="cs"/>
          <w:i/>
          <w:iCs/>
          <w:sz w:val="20"/>
          <w:szCs w:val="20"/>
        </w:rPr>
        <w:t>A. baumannii</w:t>
      </w:r>
      <w:r w:rsidRPr="0052653D">
        <w:rPr>
          <w:rFonts w:ascii="Times New Roman" w:eastAsia="Times New Roman" w:hAnsi="Times New Roman" w:cs="Times New Roman" w:hint="cs"/>
          <w:sz w:val="20"/>
          <w:szCs w:val="20"/>
        </w:rPr>
        <w:t xml:space="preserve"> and </w:t>
      </w:r>
      <w:r w:rsidRPr="0052653D">
        <w:rPr>
          <w:rFonts w:ascii="Times New Roman" w:eastAsia="Times New Roman" w:hAnsi="Times New Roman" w:cs="Times New Roman" w:hint="cs"/>
          <w:i/>
          <w:iCs/>
          <w:sz w:val="20"/>
          <w:szCs w:val="20"/>
        </w:rPr>
        <w:t>S. aureus</w:t>
      </w:r>
      <w:r w:rsidRPr="0052653D">
        <w:rPr>
          <w:rFonts w:ascii="Times New Roman" w:eastAsia="Times New Roman" w:hAnsi="Times New Roman" w:cs="Times New Roman" w:hint="cs"/>
          <w:sz w:val="20"/>
          <w:szCs w:val="20"/>
        </w:rPr>
        <w:t>. DSS_max denotes the maximum bacterial DSS across the four strains.</w:t>
      </w:r>
    </w:p>
    <w:tbl>
      <w:tblPr>
        <w:tblStyle w:val="a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1"/>
        <w:gridCol w:w="1261"/>
        <w:gridCol w:w="1262"/>
        <w:gridCol w:w="1262"/>
        <w:gridCol w:w="1262"/>
        <w:gridCol w:w="1277"/>
      </w:tblGrid>
      <w:tr w:rsidR="00DA7F75" w:rsidRPr="0052653D" w14:paraId="626E5B69" w14:textId="77777777">
        <w:trPr>
          <w:trHeight w:val="375"/>
        </w:trPr>
        <w:tc>
          <w:tcPr>
            <w:tcW w:w="2701" w:type="dxa"/>
            <w:tcBorders>
              <w:top w:val="single" w:sz="7" w:space="0" w:color="BFBFBF"/>
              <w:left w:val="single" w:sz="7" w:space="0" w:color="BFBFBF"/>
              <w:bottom w:val="single" w:sz="7" w:space="0" w:color="BFBFBF"/>
              <w:right w:val="single" w:sz="7" w:space="0" w:color="BFBFBF"/>
            </w:tcBorders>
            <w:shd w:val="clear" w:color="auto" w:fill="D9EAF7"/>
            <w:tcMar>
              <w:top w:w="0" w:type="dxa"/>
              <w:left w:w="100" w:type="dxa"/>
              <w:bottom w:w="0" w:type="dxa"/>
              <w:right w:w="100" w:type="dxa"/>
            </w:tcMar>
          </w:tcPr>
          <w:p w14:paraId="177C029A" w14:textId="77777777" w:rsidR="00DA7F75" w:rsidRPr="0052653D" w:rsidRDefault="00000000">
            <w:pPr>
              <w:spacing w:after="200" w:line="240" w:lineRule="auto"/>
              <w:jc w:val="both"/>
              <w:rPr>
                <w:rFonts w:ascii="Times New Roman" w:eastAsia="Times New Roman" w:hAnsi="Times New Roman" w:cs="Times New Roman" w:hint="cs"/>
                <w:b/>
                <w:bCs/>
                <w:sz w:val="14"/>
                <w:szCs w:val="14"/>
              </w:rPr>
            </w:pPr>
            <w:r w:rsidRPr="0052653D">
              <w:rPr>
                <w:rFonts w:ascii="Times New Roman" w:eastAsia="Times New Roman" w:hAnsi="Times New Roman" w:cs="Times New Roman" w:hint="cs"/>
                <w:b/>
                <w:bCs/>
                <w:sz w:val="14"/>
                <w:szCs w:val="14"/>
              </w:rPr>
              <w:t>Drug</w:t>
            </w:r>
          </w:p>
        </w:tc>
        <w:tc>
          <w:tcPr>
            <w:tcW w:w="1261" w:type="dxa"/>
            <w:tcBorders>
              <w:top w:val="single" w:sz="7" w:space="0" w:color="BFBFBF"/>
              <w:left w:val="nil"/>
              <w:bottom w:val="single" w:sz="7" w:space="0" w:color="BFBFBF"/>
              <w:right w:val="single" w:sz="7" w:space="0" w:color="BFBFBF"/>
            </w:tcBorders>
            <w:shd w:val="clear" w:color="auto" w:fill="D9EAF7"/>
            <w:tcMar>
              <w:top w:w="0" w:type="dxa"/>
              <w:left w:w="100" w:type="dxa"/>
              <w:bottom w:w="0" w:type="dxa"/>
              <w:right w:w="100" w:type="dxa"/>
            </w:tcMar>
          </w:tcPr>
          <w:p w14:paraId="0B7C88FE" w14:textId="77777777" w:rsidR="00DA7F75" w:rsidRPr="0052653D" w:rsidRDefault="00000000">
            <w:pPr>
              <w:spacing w:after="200" w:line="240" w:lineRule="auto"/>
              <w:jc w:val="both"/>
              <w:rPr>
                <w:rFonts w:ascii="Times New Roman" w:eastAsia="Times New Roman" w:hAnsi="Times New Roman" w:cs="Times New Roman" w:hint="cs"/>
                <w:b/>
                <w:bCs/>
                <w:sz w:val="14"/>
                <w:szCs w:val="14"/>
              </w:rPr>
            </w:pPr>
            <w:r w:rsidRPr="0052653D">
              <w:rPr>
                <w:rFonts w:ascii="Times New Roman" w:eastAsia="Times New Roman" w:hAnsi="Times New Roman" w:cs="Times New Roman" w:hint="cs"/>
                <w:b/>
                <w:bCs/>
                <w:sz w:val="14"/>
                <w:szCs w:val="14"/>
              </w:rPr>
              <w:t>E. coli</w:t>
            </w:r>
          </w:p>
        </w:tc>
        <w:tc>
          <w:tcPr>
            <w:tcW w:w="1261" w:type="dxa"/>
            <w:tcBorders>
              <w:top w:val="single" w:sz="7" w:space="0" w:color="BFBFBF"/>
              <w:left w:val="nil"/>
              <w:bottom w:val="single" w:sz="7" w:space="0" w:color="BFBFBF"/>
              <w:right w:val="single" w:sz="7" w:space="0" w:color="BFBFBF"/>
            </w:tcBorders>
            <w:shd w:val="clear" w:color="auto" w:fill="D9EAF7"/>
            <w:tcMar>
              <w:top w:w="0" w:type="dxa"/>
              <w:left w:w="100" w:type="dxa"/>
              <w:bottom w:w="0" w:type="dxa"/>
              <w:right w:w="100" w:type="dxa"/>
            </w:tcMar>
          </w:tcPr>
          <w:p w14:paraId="43A030D8" w14:textId="77777777" w:rsidR="00DA7F75" w:rsidRPr="0052653D" w:rsidRDefault="00000000">
            <w:pPr>
              <w:spacing w:after="200" w:line="240" w:lineRule="auto"/>
              <w:jc w:val="both"/>
              <w:rPr>
                <w:rFonts w:ascii="Times New Roman" w:eastAsia="Times New Roman" w:hAnsi="Times New Roman" w:cs="Times New Roman" w:hint="cs"/>
                <w:b/>
                <w:bCs/>
                <w:sz w:val="14"/>
                <w:szCs w:val="14"/>
              </w:rPr>
            </w:pPr>
            <w:r w:rsidRPr="0052653D">
              <w:rPr>
                <w:rFonts w:ascii="Times New Roman" w:eastAsia="Times New Roman" w:hAnsi="Times New Roman" w:cs="Times New Roman" w:hint="cs"/>
                <w:b/>
                <w:bCs/>
                <w:sz w:val="14"/>
                <w:szCs w:val="14"/>
              </w:rPr>
              <w:t>P. aerug.</w:t>
            </w:r>
          </w:p>
        </w:tc>
        <w:tc>
          <w:tcPr>
            <w:tcW w:w="1261" w:type="dxa"/>
            <w:tcBorders>
              <w:top w:val="single" w:sz="7" w:space="0" w:color="BFBFBF"/>
              <w:left w:val="nil"/>
              <w:bottom w:val="single" w:sz="7" w:space="0" w:color="BFBFBF"/>
              <w:right w:val="single" w:sz="7" w:space="0" w:color="BFBFBF"/>
            </w:tcBorders>
            <w:shd w:val="clear" w:color="auto" w:fill="D9EAF7"/>
            <w:tcMar>
              <w:top w:w="0" w:type="dxa"/>
              <w:left w:w="100" w:type="dxa"/>
              <w:bottom w:w="0" w:type="dxa"/>
              <w:right w:w="100" w:type="dxa"/>
            </w:tcMar>
          </w:tcPr>
          <w:p w14:paraId="737EADA0" w14:textId="77777777" w:rsidR="00DA7F75" w:rsidRPr="0052653D" w:rsidRDefault="00000000">
            <w:pPr>
              <w:spacing w:after="200" w:line="240" w:lineRule="auto"/>
              <w:jc w:val="both"/>
              <w:rPr>
                <w:rFonts w:ascii="Times New Roman" w:eastAsia="Times New Roman" w:hAnsi="Times New Roman" w:cs="Times New Roman" w:hint="cs"/>
                <w:b/>
                <w:bCs/>
                <w:sz w:val="14"/>
                <w:szCs w:val="14"/>
              </w:rPr>
            </w:pPr>
            <w:r w:rsidRPr="0052653D">
              <w:rPr>
                <w:rFonts w:ascii="Times New Roman" w:eastAsia="Times New Roman" w:hAnsi="Times New Roman" w:cs="Times New Roman" w:hint="cs"/>
                <w:b/>
                <w:bCs/>
                <w:sz w:val="14"/>
                <w:szCs w:val="14"/>
              </w:rPr>
              <w:t>A. baum.</w:t>
            </w:r>
          </w:p>
        </w:tc>
        <w:tc>
          <w:tcPr>
            <w:tcW w:w="1261" w:type="dxa"/>
            <w:tcBorders>
              <w:top w:val="single" w:sz="7" w:space="0" w:color="BFBFBF"/>
              <w:left w:val="nil"/>
              <w:bottom w:val="single" w:sz="7" w:space="0" w:color="BFBFBF"/>
              <w:right w:val="single" w:sz="7" w:space="0" w:color="BFBFBF"/>
            </w:tcBorders>
            <w:shd w:val="clear" w:color="auto" w:fill="D9EAF7"/>
            <w:tcMar>
              <w:top w:w="0" w:type="dxa"/>
              <w:left w:w="100" w:type="dxa"/>
              <w:bottom w:w="0" w:type="dxa"/>
              <w:right w:w="100" w:type="dxa"/>
            </w:tcMar>
          </w:tcPr>
          <w:p w14:paraId="5DD7C730" w14:textId="77777777" w:rsidR="00DA7F75" w:rsidRPr="0052653D" w:rsidRDefault="00000000">
            <w:pPr>
              <w:spacing w:after="200" w:line="240" w:lineRule="auto"/>
              <w:jc w:val="both"/>
              <w:rPr>
                <w:rFonts w:ascii="Times New Roman" w:eastAsia="Times New Roman" w:hAnsi="Times New Roman" w:cs="Times New Roman" w:hint="cs"/>
                <w:b/>
                <w:bCs/>
                <w:sz w:val="14"/>
                <w:szCs w:val="14"/>
              </w:rPr>
            </w:pPr>
            <w:r w:rsidRPr="0052653D">
              <w:rPr>
                <w:rFonts w:ascii="Times New Roman" w:eastAsia="Times New Roman" w:hAnsi="Times New Roman" w:cs="Times New Roman" w:hint="cs"/>
                <w:b/>
                <w:bCs/>
                <w:sz w:val="14"/>
                <w:szCs w:val="14"/>
              </w:rPr>
              <w:t>S. aur.</w:t>
            </w:r>
          </w:p>
        </w:tc>
        <w:tc>
          <w:tcPr>
            <w:tcW w:w="1276" w:type="dxa"/>
            <w:tcBorders>
              <w:top w:val="single" w:sz="7" w:space="0" w:color="BFBFBF"/>
              <w:left w:val="nil"/>
              <w:bottom w:val="single" w:sz="7" w:space="0" w:color="BFBFBF"/>
              <w:right w:val="single" w:sz="7" w:space="0" w:color="BFBFBF"/>
            </w:tcBorders>
            <w:shd w:val="clear" w:color="auto" w:fill="D9EAF7"/>
            <w:tcMar>
              <w:top w:w="0" w:type="dxa"/>
              <w:left w:w="100" w:type="dxa"/>
              <w:bottom w:w="0" w:type="dxa"/>
              <w:right w:w="100" w:type="dxa"/>
            </w:tcMar>
          </w:tcPr>
          <w:p w14:paraId="3A016437" w14:textId="77777777" w:rsidR="00DA7F75" w:rsidRPr="0052653D" w:rsidRDefault="00000000">
            <w:pPr>
              <w:spacing w:after="200" w:line="240" w:lineRule="auto"/>
              <w:jc w:val="both"/>
              <w:rPr>
                <w:rFonts w:ascii="Times New Roman" w:eastAsia="Times New Roman" w:hAnsi="Times New Roman" w:cs="Times New Roman" w:hint="cs"/>
                <w:b/>
                <w:bCs/>
                <w:sz w:val="14"/>
                <w:szCs w:val="14"/>
              </w:rPr>
            </w:pPr>
            <w:r w:rsidRPr="0052653D">
              <w:rPr>
                <w:rFonts w:ascii="Times New Roman" w:eastAsia="Times New Roman" w:hAnsi="Times New Roman" w:cs="Times New Roman" w:hint="cs"/>
                <w:b/>
                <w:bCs/>
                <w:sz w:val="14"/>
                <w:szCs w:val="14"/>
              </w:rPr>
              <w:t>DSS_max</w:t>
            </w:r>
          </w:p>
        </w:tc>
      </w:tr>
      <w:tr w:rsidR="00DA7F75" w:rsidRPr="0052653D" w14:paraId="54DBE57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3EB5A54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Clinafloxacin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992A8B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42.2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A5ECA4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183955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42.4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004C1E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32.7</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18FCDE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42.4</w:t>
            </w:r>
          </w:p>
        </w:tc>
      </w:tr>
      <w:tr w:rsidR="00DA7F75" w:rsidRPr="0052653D" w14:paraId="712DEA2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2FF2DC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Ciprofloxacin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28BBE1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42.1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08B5A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28.3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72C8E3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28.0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358E50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21.2</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457A3A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42.1</w:t>
            </w:r>
          </w:p>
        </w:tc>
      </w:tr>
      <w:tr w:rsidR="00DA7F75" w:rsidRPr="0052653D" w14:paraId="5353D17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97D962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Rifampicin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1F5BC2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B40965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7D43D7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447622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34.4</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18DADD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34.4</w:t>
            </w:r>
          </w:p>
        </w:tc>
      </w:tr>
      <w:tr w:rsidR="00DA7F75" w:rsidRPr="0052653D" w14:paraId="37F3E5DA"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198E9A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Rifabutin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248707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00EE23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60A1EB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15.0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D4A3E0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33.4</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43A9F0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33.4</w:t>
            </w:r>
          </w:p>
        </w:tc>
      </w:tr>
      <w:tr w:rsidR="00DA7F75" w:rsidRPr="0052653D" w14:paraId="239C6D6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2C59DE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Levofloxacin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247B29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31.9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39AEE2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16.2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9AEF07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24.6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74CA63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17.3</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291EF7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31.9</w:t>
            </w:r>
          </w:p>
        </w:tc>
      </w:tr>
      <w:tr w:rsidR="00DA7F75" w:rsidRPr="0052653D" w14:paraId="1004039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31D61E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Moxifloxacin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941CD2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31.0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C695DF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9.8</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478B8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27.4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0C1757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24.7</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8C5316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31.0</w:t>
            </w:r>
          </w:p>
        </w:tc>
      </w:tr>
      <w:tr w:rsidR="00DA7F75" w:rsidRPr="0052653D" w14:paraId="6E45753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50B3DB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Cefotetan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B4A927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6E1DBA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1B44D8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D0F0A8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5.5</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5147E7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30.9</w:t>
            </w:r>
          </w:p>
        </w:tc>
      </w:tr>
      <w:tr w:rsidR="00DA7F75" w:rsidRPr="0052653D" w14:paraId="3D5C43EA"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9AFEB0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Marbofloxacin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CD8FA4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B059A2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6.8</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0F7C4D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24.5</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C46B9C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9.6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050F88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30.6</w:t>
            </w:r>
          </w:p>
        </w:tc>
      </w:tr>
      <w:tr w:rsidR="00DA7F75" w:rsidRPr="0052653D" w14:paraId="5CFE459E"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7A64A2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Gatifloxacin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178138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692464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11.9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49F3E5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26.5</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C27E8C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16.8</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218D05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30.1</w:t>
            </w:r>
          </w:p>
        </w:tc>
      </w:tr>
      <w:tr w:rsidR="00DA7F75" w:rsidRPr="0052653D" w14:paraId="1F1F6CE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1C1A35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Ofloxacin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CA39AB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B72559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7.8</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C4A3AC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18.7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6BEA61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13.9</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AF75FB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29.9</w:t>
            </w:r>
          </w:p>
        </w:tc>
      </w:tr>
      <w:tr w:rsidR="00DA7F75" w:rsidRPr="0052653D" w14:paraId="7B2C20F1"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3A2DFE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lastRenderedPageBreak/>
              <w:t>Cefepime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A75251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B1BF03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9.7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9DA5AA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8D54E4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7.2</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A28D2C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29.3</w:t>
            </w:r>
          </w:p>
        </w:tc>
      </w:tr>
      <w:tr w:rsidR="00DA7F75" w:rsidRPr="0052653D" w14:paraId="099CAD8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6F8C44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Norfloxacin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08E7B8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52602E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8.8</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E49FA0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709115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10.2</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1EC198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29.1</w:t>
            </w:r>
          </w:p>
        </w:tc>
      </w:tr>
      <w:tr w:rsidR="00DA7F75" w:rsidRPr="0052653D" w14:paraId="22422CD7"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ABA118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Novobiocin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F400B3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6FB114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8D2918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125E5D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27.4</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5EF8EB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27.4</w:t>
            </w:r>
          </w:p>
        </w:tc>
      </w:tr>
      <w:tr w:rsidR="00DA7F75" w:rsidRPr="0052653D" w14:paraId="66B9606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FBEF65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Doxycycline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BFD575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14.6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0BDE5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F5CE17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21.0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9420E0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14.9</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6214DF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21.0</w:t>
            </w:r>
          </w:p>
        </w:tc>
      </w:tr>
      <w:tr w:rsidR="00DA7F75" w:rsidRPr="0052653D" w14:paraId="06E8DF78"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0B582C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Cefdinir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E65E65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20.7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41F19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ADF10C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6.0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A93FFC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17.3</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AC872C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20.7</w:t>
            </w:r>
          </w:p>
        </w:tc>
      </w:tr>
      <w:tr w:rsidR="00DA7F75" w:rsidRPr="0052653D" w14:paraId="66568092"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ED1AC8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Thiostrepton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CD477C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E040B1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C2A96F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0.5</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8EDAC1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19.5</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0EFB09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19.5</w:t>
            </w:r>
          </w:p>
        </w:tc>
      </w:tr>
      <w:tr w:rsidR="00DA7F75" w:rsidRPr="0052653D" w14:paraId="62D5198D"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F8F5A9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Colistin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99284B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4F9DC4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17.7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084AFC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18.5</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D57C47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B1940B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19.3</w:t>
            </w:r>
          </w:p>
        </w:tc>
      </w:tr>
      <w:tr w:rsidR="00DA7F75" w:rsidRPr="0052653D" w14:paraId="7D24D207"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4422B5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Polymyxin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985586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18.6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B9D89A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5B615B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17.2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56C161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5E97B5C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19.2</w:t>
            </w:r>
          </w:p>
        </w:tc>
      </w:tr>
      <w:tr w:rsidR="00DA7F75" w:rsidRPr="0052653D" w14:paraId="3CEF605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89A4EB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Tobramycin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2CB1CE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520698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77D9FA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15.7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961F52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12.8</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5E0690D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15.7</w:t>
            </w:r>
          </w:p>
        </w:tc>
      </w:tr>
      <w:tr w:rsidR="00DA7F75" w:rsidRPr="0052653D" w14:paraId="4B83B4D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650F54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Erythromycin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ADF6E2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892A11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C39F88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FFDD0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15.1</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0CE75A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15.1</w:t>
            </w:r>
          </w:p>
        </w:tc>
      </w:tr>
      <w:tr w:rsidR="00DA7F75" w:rsidRPr="0052653D" w14:paraId="6F414687"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6BEB3D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Nafcillin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D0711D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344DFF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450E5A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E8789E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13.5</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0C2E11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13.5</w:t>
            </w:r>
          </w:p>
        </w:tc>
      </w:tr>
      <w:tr w:rsidR="00DA7F75" w:rsidRPr="0052653D" w14:paraId="351C764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363BA4D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Azithromycin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92F0F3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D668AC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6.2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1E745D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070315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7.7</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B227CD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13.2</w:t>
            </w:r>
          </w:p>
        </w:tc>
      </w:tr>
      <w:tr w:rsidR="00DA7F75" w:rsidRPr="0052653D" w14:paraId="4EADB498"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FF2A61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Tedizolid</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ADB66F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E0A406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A54FF5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9D388B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13.1</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3318AF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13.1</w:t>
            </w:r>
          </w:p>
        </w:tc>
      </w:tr>
      <w:tr w:rsidR="00DA7F75" w:rsidRPr="0052653D" w14:paraId="3B06C8A0"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8F61D5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Benzylpenicillin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4D0383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3099D3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2E18E9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2280C7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57455A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13.0</w:t>
            </w:r>
          </w:p>
        </w:tc>
      </w:tr>
      <w:tr w:rsidR="00DA7F75" w:rsidRPr="0052653D" w14:paraId="543ED505"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E4B7D9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Tetracycline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1EC19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9.9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3F4566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A383E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F0771F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BAC18C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12.6</w:t>
            </w:r>
          </w:p>
        </w:tc>
      </w:tr>
      <w:tr w:rsidR="00DA7F75" w:rsidRPr="0052653D" w14:paraId="4F15B72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97EF50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Trimethoprim</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68B3A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64C5CF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A97E1A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2.8</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FB9712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0.3</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837C88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12.3</w:t>
            </w:r>
          </w:p>
        </w:tc>
      </w:tr>
      <w:tr w:rsidR="00DA7F75" w:rsidRPr="0052653D" w14:paraId="3071851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F1FCBD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Niclosamide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1DB3F2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0.5</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311E14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FFB55A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811B5B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12.2</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A761E3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12.2</w:t>
            </w:r>
          </w:p>
        </w:tc>
      </w:tr>
      <w:tr w:rsidR="00DA7F75" w:rsidRPr="0052653D" w14:paraId="2FF89A8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E0C634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Ritonavir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C4A82E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18C8A0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798B5B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87F1E2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7.8</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FB438E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7.8</w:t>
            </w:r>
          </w:p>
        </w:tc>
      </w:tr>
      <w:tr w:rsidR="00DA7F75" w:rsidRPr="0052653D" w14:paraId="27B3C79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F4C793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Ampicillin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3D2325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1E19F2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7A35E7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16B665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6.8</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041645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6.8</w:t>
            </w:r>
          </w:p>
        </w:tc>
      </w:tr>
      <w:tr w:rsidR="00DA7F75" w:rsidRPr="0052653D" w14:paraId="74D5F1B2"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36FD694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Gramicidin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2BC150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47F26F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D0612B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D08D99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5.4</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57911B6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5.4</w:t>
            </w:r>
          </w:p>
        </w:tc>
      </w:tr>
      <w:tr w:rsidR="00DA7F75" w:rsidRPr="0052653D" w14:paraId="4899C7BE"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EA6365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Fidaxomicin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97FB16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2C5715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B99136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0.3</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A8A549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5.3</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7DC46E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5.3</w:t>
            </w:r>
          </w:p>
        </w:tc>
      </w:tr>
      <w:tr w:rsidR="00DA7F75" w:rsidRPr="0052653D" w14:paraId="410F2466"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E908F1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Josamycin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ACEB27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6A02BF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9C240F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C435F6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FB0EA0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5.0</w:t>
            </w:r>
          </w:p>
        </w:tc>
      </w:tr>
      <w:tr w:rsidR="00DA7F75" w:rsidRPr="0052653D" w14:paraId="08EB8ADB"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CF441A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Hexachlorophene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188AE3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39147E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781534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76467C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3.4</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1EE958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4.9</w:t>
            </w:r>
          </w:p>
        </w:tc>
      </w:tr>
      <w:tr w:rsidR="00DA7F75" w:rsidRPr="0052653D" w14:paraId="4D4C55BE"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F3A9E1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Clotrimazole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6D0C55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22F1EF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4C33EA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1472F2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0.5</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2E81A7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4.7</w:t>
            </w:r>
          </w:p>
        </w:tc>
      </w:tr>
      <w:tr w:rsidR="00DA7F75" w:rsidRPr="0052653D" w14:paraId="3A722EB2"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482464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Linezolid</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4CF972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AE62F7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BB8F8C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22D85E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4.3</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7768FA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4.3</w:t>
            </w:r>
          </w:p>
        </w:tc>
      </w:tr>
      <w:tr w:rsidR="00DA7F75" w:rsidRPr="0052653D" w14:paraId="2FC9F0A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976368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Spectinomycin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715FCE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9333E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73B21E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2904D8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4F9D76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4.0</w:t>
            </w:r>
          </w:p>
        </w:tc>
      </w:tr>
      <w:tr w:rsidR="00DA7F75" w:rsidRPr="0052653D" w14:paraId="090A97C1"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1217E6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Mitoxantrone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CFAD91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3.5</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E66E62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C9832B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0.5</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5DF954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5D6F11C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3.5</w:t>
            </w:r>
          </w:p>
        </w:tc>
      </w:tr>
      <w:tr w:rsidR="00DA7F75" w:rsidRPr="0052653D" w14:paraId="1727BEF1"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66C760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Tazobactam</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9F86C6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A640D2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2.8</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B5A5C0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48A3D5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660B5B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3.4</w:t>
            </w:r>
          </w:p>
        </w:tc>
      </w:tr>
      <w:tr w:rsidR="00DA7F75" w:rsidRPr="0052653D" w14:paraId="2EF568C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AD4E36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Resveratrol</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42443E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E4CCC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34A781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0.1</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AECE63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3.4</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D479A4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3.4</w:t>
            </w:r>
          </w:p>
        </w:tc>
      </w:tr>
      <w:tr w:rsidR="00DA7F75" w:rsidRPr="0052653D" w14:paraId="70CCBD72"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7C1B13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Umifenovir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CB7C49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0FEF27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FA8658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0.7</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A4B723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3.2</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B68713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3.2</w:t>
            </w:r>
          </w:p>
        </w:tc>
      </w:tr>
      <w:tr w:rsidR="00DA7F75" w:rsidRPr="0052653D" w14:paraId="37CE0F45"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98CB68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Sunitinib</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43131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64110A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929D88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5655DE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CD162F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3.0</w:t>
            </w:r>
          </w:p>
        </w:tc>
      </w:tr>
      <w:tr w:rsidR="00DA7F75" w:rsidRPr="0052653D" w14:paraId="259E859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72CA1C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Doxorubicin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648509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47F11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5F8E97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920E8C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5E8EC1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2.9</w:t>
            </w:r>
          </w:p>
        </w:tc>
      </w:tr>
      <w:tr w:rsidR="00DA7F75" w:rsidRPr="0052653D" w14:paraId="141548C1"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D774D9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Bacitracin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4E876F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529BFA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DAA00D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DEE56F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B8C654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1.9</w:t>
            </w:r>
          </w:p>
        </w:tc>
      </w:tr>
      <w:tr w:rsidR="00DA7F75" w:rsidRPr="0052653D" w14:paraId="0B499E9E"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F94DB4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Gossypol</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CADBB8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FFF86A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8DE7EE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AB6440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D5C5C3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1.6</w:t>
            </w:r>
          </w:p>
        </w:tc>
      </w:tr>
      <w:tr w:rsidR="00DA7F75" w:rsidRPr="0052653D" w14:paraId="67B7D00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256CC9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Mycophenolic acid</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6F2C73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AD1827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285ED7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0.2</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6F39B7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0.9</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5AA0D92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1.4</w:t>
            </w:r>
          </w:p>
        </w:tc>
      </w:tr>
      <w:tr w:rsidR="00DA7F75" w:rsidRPr="0052653D" w14:paraId="325E5678"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1B5CB4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lastRenderedPageBreak/>
              <w:t>Efavirenz</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64552D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C87E45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44F961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C3E3BA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A82AE1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1.0</w:t>
            </w:r>
          </w:p>
        </w:tc>
      </w:tr>
      <w:tr w:rsidR="00DA7F75" w:rsidRPr="0052653D" w14:paraId="1A41ECA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827FB7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Berberine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0E6846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671650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0.8</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73D13E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D309F3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0.0</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D59D4B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0.8</w:t>
            </w:r>
          </w:p>
        </w:tc>
      </w:tr>
      <w:tr w:rsidR="00DA7F75" w:rsidRPr="0052653D" w14:paraId="48B278D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E20DF1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Vidarabine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E1C65E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27F21D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2413E5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C0193A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389634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02376E8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1D2354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Verapamil</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852E3F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EFF9E2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F61E88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A23222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0E2A74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26F32B43"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39761C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Valproic acid</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8E95A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610761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08F60A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77C5F4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9601AD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594AE76B"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9CF6BC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Troglitazone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56775B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D1C741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79EFC3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93F6E2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170A3D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3C2A784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99CCC1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Stavudine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F4D5F1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646216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B7BD4F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8A5E73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FA3060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3737109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45632A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Sirolimus</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9E24D9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9C69B2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33AFB1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8BF659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1AA241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3023232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685792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Simvastatin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986B63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00A753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C4083A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2072CA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848E91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213F038"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F09269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Seliciclib</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D19BC3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F55F8D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03779A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B424AE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93FDD2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0A381DA6"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1F3600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Saracatinib</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0B78B3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C63957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368E43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A072B5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016153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00D038E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5D60DC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Remdesivir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DC103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86613C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F1162F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90E042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9C334D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33DA124A"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F23293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Raloxifene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2F016A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A16EB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F2133D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7CF161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E8EB59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045B9E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FFC7AF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Quercetin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4057C7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85BAC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25C19D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25774D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02A427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566BFED1"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DFA624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Prochlorperazine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998D6E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778E34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3B3538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198929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53BE92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179AE41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81B719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Podofilox</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E27E2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F0DBFF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D8AF40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6C05CF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CBBB1A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6B2686B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2C2CA4A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Pinacidil</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7B4E51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C5A86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6DB4E3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6546E0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00E999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110D9D94"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00B5DB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Nelfinavir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F18298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CFCE76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D46DE7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2D273D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EB2164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7EEF4DDB"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262ECF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Metronidazole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828998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897219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8F1861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4B2C69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979C10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5B742002"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3D8AD7B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Methenamine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282B62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B92461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596BC7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2C9D7B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466165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6C24E08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0FCD81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Metformin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EFB1C1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2714C2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82B3E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43B9E6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E396D5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30240206"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DC7464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Manidipine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0E10A4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45548B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D3BAC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3B00D8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4049DB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A5A02BC"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06E7A0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Luteolin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94BE37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F630BC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5C885B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8BDEFC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9A497A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7FDFC810"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A27BAD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Leflunomide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136B99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B79E13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DC0F5C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EA0EEF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EFC4B4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5AFF4993"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70B0AA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Itraconazole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DA426F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D76E4E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539888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B38807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1A3FBC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17FFB7BE"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EB67A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Indomethacin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982676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AC5DE2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3E7F15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42307A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EE9521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E728FEE"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838B70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Indinavir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2D1B0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692FB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B595B1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E07B39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8812B9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08DA1FAB"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C08874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Griseofulvin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E39DB1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C972C0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E81734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730E12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93A9E5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647D94E8"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32FD9A5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Ganciclovir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616F6C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A066E8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3CB5EB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BFDE11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5AFCDF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63E15567"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0C6851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Fluoxetine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AED748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29CA52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E78ACE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8DC45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7B19D0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1C82F178"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6963E0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Flavopiridol</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CD6D58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8C9A7D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B38546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B0B75F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1BA8B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7E393CAD"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676569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Favipiravir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4E4E26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BCF6E4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C75FB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EB0680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0934E8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2A0E001"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4D9C7A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Emtricitabine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1CD802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3BB19D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BDAF84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A73142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BD9190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7385F45"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30BE596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Eltrombopag</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177E85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018D5A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3C93A2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9C9369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73F6CA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54E85C6D"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8ABA5A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Darunavir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BFF758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24C7EC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BA9789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F84AEF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003A3AA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7EE6121"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12E99F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lastRenderedPageBreak/>
              <w:t>Chloroquine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3D47A5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965E92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5AEEBB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29698A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66C686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7A1105D8"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F1118C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Cefotaxime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DF0C32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87B1A0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5A2C2E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01D015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3CA7C5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0E474E32"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A1A336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Camptothecin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A3364C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0AD85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BE37DD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16038A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36AABA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6ECD2C5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08F7D7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Camostat</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BCC81D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F9DDF8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694664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6257D5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746B651"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5F9E6B83"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02B33F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Caffeine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475584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4C89BE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F12777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27CE13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BD82F6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7EC0AAC2"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B8F612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Bepridil</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8FB3F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1F8FD6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81E21F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70B1BB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4032FA7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76274447"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063BF66"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Apilimod</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DB28DB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5F2666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F4FC34E"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204562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3B6A400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48D358AB"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5B733BA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Anisomycin</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EC5144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9A76C4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6F228D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3150D9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9B7BCD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2CD52966"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6EFD818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Amodiaquine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E5FA12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5B5AE49"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5EBCF95"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2874F4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BF97A4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34E82DBA"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08A1F0A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Amiloride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479A95F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0779692"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56D82C3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E25174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2FFA6B0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6348D9F9"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4A2F180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Amantadine</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BB9AE1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D598C1D"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F611ED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BE9AE2B"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7ECB961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542B3A23"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7CDF108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Acyclovir</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1489FA8A"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0C5D3E67"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702FA6B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F1BCE9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18D23AEC"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r w:rsidR="00DA7F75" w:rsidRPr="0052653D" w14:paraId="0B146D4F" w14:textId="77777777">
        <w:trPr>
          <w:trHeight w:val="375"/>
        </w:trPr>
        <w:tc>
          <w:tcPr>
            <w:tcW w:w="2701" w:type="dxa"/>
            <w:tcBorders>
              <w:top w:val="nil"/>
              <w:left w:val="single" w:sz="7" w:space="0" w:color="BFBFBF"/>
              <w:bottom w:val="single" w:sz="7" w:space="0" w:color="BFBFBF"/>
              <w:right w:val="single" w:sz="7" w:space="0" w:color="BFBFBF"/>
            </w:tcBorders>
            <w:tcMar>
              <w:top w:w="0" w:type="dxa"/>
              <w:left w:w="100" w:type="dxa"/>
              <w:bottom w:w="0" w:type="dxa"/>
              <w:right w:w="100" w:type="dxa"/>
            </w:tcMar>
          </w:tcPr>
          <w:p w14:paraId="196238B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AVN-944</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6826A2D0"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D40F9B4"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30B836B3"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61" w:type="dxa"/>
            <w:tcBorders>
              <w:top w:val="nil"/>
              <w:left w:val="nil"/>
              <w:bottom w:val="single" w:sz="7" w:space="0" w:color="BFBFBF"/>
              <w:right w:val="single" w:sz="7" w:space="0" w:color="BFBFBF"/>
            </w:tcBorders>
            <w:tcMar>
              <w:top w:w="0" w:type="dxa"/>
              <w:left w:w="100" w:type="dxa"/>
              <w:bottom w:w="0" w:type="dxa"/>
              <w:right w:w="100" w:type="dxa"/>
            </w:tcMar>
          </w:tcPr>
          <w:p w14:paraId="26172F5F"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c>
          <w:tcPr>
            <w:tcW w:w="1276" w:type="dxa"/>
            <w:tcBorders>
              <w:top w:val="nil"/>
              <w:left w:val="nil"/>
              <w:bottom w:val="single" w:sz="7" w:space="0" w:color="BFBFBF"/>
              <w:right w:val="single" w:sz="7" w:space="0" w:color="BFBFBF"/>
            </w:tcBorders>
            <w:tcMar>
              <w:top w:w="0" w:type="dxa"/>
              <w:left w:w="100" w:type="dxa"/>
              <w:bottom w:w="0" w:type="dxa"/>
              <w:right w:w="100" w:type="dxa"/>
            </w:tcMar>
          </w:tcPr>
          <w:p w14:paraId="628107C8" w14:textId="77777777" w:rsidR="00DA7F75" w:rsidRPr="0052653D" w:rsidRDefault="00000000">
            <w:pPr>
              <w:spacing w:after="200" w:line="240" w:lineRule="auto"/>
              <w:jc w:val="both"/>
              <w:rPr>
                <w:rFonts w:ascii="Times New Roman" w:eastAsia="Times New Roman" w:hAnsi="Times New Roman" w:cs="Times New Roman" w:hint="cs"/>
                <w:sz w:val="14"/>
                <w:szCs w:val="14"/>
              </w:rPr>
            </w:pPr>
            <w:r w:rsidRPr="0052653D">
              <w:rPr>
                <w:rFonts w:ascii="Times New Roman" w:eastAsia="Times New Roman" w:hAnsi="Times New Roman" w:cs="Times New Roman" w:hint="cs"/>
                <w:sz w:val="14"/>
                <w:szCs w:val="14"/>
              </w:rPr>
              <w:t>&lt;=0.6</w:t>
            </w:r>
          </w:p>
        </w:tc>
      </w:tr>
    </w:tbl>
    <w:p w14:paraId="29B22786" w14:textId="77777777" w:rsidR="00DA7F75" w:rsidRPr="0052653D" w:rsidRDefault="00DA7F75">
      <w:pPr>
        <w:spacing w:after="100" w:line="240" w:lineRule="auto"/>
        <w:jc w:val="both"/>
        <w:rPr>
          <w:rFonts w:ascii="Times New Roman" w:eastAsia="Times New Roman" w:hAnsi="Times New Roman" w:cs="Times New Roman" w:hint="cs"/>
          <w:sz w:val="20"/>
          <w:szCs w:val="20"/>
        </w:rPr>
      </w:pPr>
    </w:p>
    <w:p w14:paraId="32A2FF85" w14:textId="77777777" w:rsidR="00DA7F75" w:rsidRPr="0052653D" w:rsidRDefault="00DA7F75">
      <w:pPr>
        <w:spacing w:after="100" w:line="240" w:lineRule="auto"/>
        <w:jc w:val="both"/>
        <w:rPr>
          <w:rFonts w:ascii="Times New Roman" w:eastAsia="Times New Roman" w:hAnsi="Times New Roman" w:cs="Times New Roman" w:hint="cs"/>
          <w:sz w:val="20"/>
          <w:szCs w:val="20"/>
        </w:rPr>
      </w:pPr>
    </w:p>
    <w:p w14:paraId="323161DE"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noProof/>
          <w:sz w:val="20"/>
          <w:szCs w:val="20"/>
        </w:rPr>
        <w:drawing>
          <wp:inline distT="114300" distB="114300" distL="114300" distR="114300" wp14:anchorId="3581D951" wp14:editId="517AB8F0">
            <wp:extent cx="5731200" cy="45212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731200" cy="4521200"/>
                    </a:xfrm>
                    <a:prstGeom prst="rect">
                      <a:avLst/>
                    </a:prstGeom>
                    <a:ln/>
                  </pic:spPr>
                </pic:pic>
              </a:graphicData>
            </a:graphic>
          </wp:inline>
        </w:drawing>
      </w:r>
    </w:p>
    <w:p w14:paraId="2B843F3E"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sz w:val="20"/>
          <w:szCs w:val="20"/>
        </w:rPr>
        <w:t xml:space="preserve"> </w:t>
      </w:r>
      <w:r w:rsidRPr="0052653D">
        <w:rPr>
          <w:rFonts w:ascii="Times New Roman" w:eastAsia="Times New Roman" w:hAnsi="Times New Roman" w:cs="Times New Roman" w:hint="cs"/>
          <w:b/>
          <w:bCs/>
          <w:sz w:val="20"/>
          <w:szCs w:val="20"/>
        </w:rPr>
        <w:t>Supplementary Fig. S1 | ToxiPred captures compound-level liability and drug-specific lineage selectivity. (a)</w:t>
      </w:r>
      <w:r w:rsidRPr="0052653D">
        <w:rPr>
          <w:rFonts w:ascii="Times New Roman" w:eastAsia="Times New Roman" w:hAnsi="Times New Roman" w:cs="Times New Roman" w:hint="cs"/>
          <w:sz w:val="20"/>
          <w:szCs w:val="20"/>
        </w:rPr>
        <w:t xml:space="preserve"> Decomposition of drug-disjoint held-out prediction performance into compound-level cellular-liability, lineage-wide sensitivity and residual drug × lineage interaction signals. Points show Pearson correlations between measured and predicted components; error bars show bootstrap 95% confidence intervals. </w:t>
      </w:r>
      <w:r w:rsidRPr="0052653D">
        <w:rPr>
          <w:rFonts w:ascii="Times New Roman" w:eastAsia="Times New Roman" w:hAnsi="Times New Roman" w:cs="Times New Roman" w:hint="cs"/>
          <w:b/>
          <w:bCs/>
          <w:sz w:val="20"/>
          <w:szCs w:val="20"/>
        </w:rPr>
        <w:t>(b)</w:t>
      </w:r>
      <w:r w:rsidRPr="0052653D">
        <w:rPr>
          <w:rFonts w:ascii="Times New Roman" w:eastAsia="Times New Roman" w:hAnsi="Times New Roman" w:cs="Times New Roman" w:hint="cs"/>
          <w:sz w:val="20"/>
          <w:szCs w:val="20"/>
        </w:rPr>
        <w:t xml:space="preserve"> Predicted versus </w:t>
      </w:r>
      <w:r w:rsidRPr="0052653D">
        <w:rPr>
          <w:rFonts w:ascii="Times New Roman" w:eastAsia="Times New Roman" w:hAnsi="Times New Roman" w:cs="Times New Roman" w:hint="cs"/>
          <w:sz w:val="20"/>
          <w:szCs w:val="20"/>
        </w:rPr>
        <w:lastRenderedPageBreak/>
        <w:t xml:space="preserve">measured drug × lineage interaction residuals after removing additive compound and lineage effects. The residual correlation tests whether ToxiPred captures lineage-selective signal beyond global compound potency and lineage-wide sensitivity. </w:t>
      </w:r>
      <w:r w:rsidRPr="0052653D">
        <w:rPr>
          <w:rFonts w:ascii="Times New Roman" w:eastAsia="Times New Roman" w:hAnsi="Times New Roman" w:cs="Times New Roman" w:hint="cs"/>
          <w:b/>
          <w:bCs/>
          <w:sz w:val="20"/>
          <w:szCs w:val="20"/>
        </w:rPr>
        <w:t>(c)</w:t>
      </w:r>
      <w:r w:rsidRPr="0052653D">
        <w:rPr>
          <w:rFonts w:ascii="Times New Roman" w:eastAsia="Times New Roman" w:hAnsi="Times New Roman" w:cs="Times New Roman" w:hint="cs"/>
          <w:sz w:val="20"/>
          <w:szCs w:val="20"/>
        </w:rPr>
        <w:t xml:space="preserve"> Representative lineage-enriched interaction-residual profiles. Bars show measured interaction residuals and black diamonds show drug-disjoint held-out predictions. Highlighted lineages indicate expected lineage-enriched responses based on established drug biology; grey bars show other lineages.</w:t>
      </w:r>
    </w:p>
    <w:p w14:paraId="0B7AECD7"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sz w:val="20"/>
          <w:szCs w:val="20"/>
        </w:rPr>
        <w:t xml:space="preserve"> </w:t>
      </w:r>
    </w:p>
    <w:p w14:paraId="05DCBA3E" w14:textId="77777777" w:rsidR="00DA7F75" w:rsidRPr="0052653D" w:rsidRDefault="00DA7F75">
      <w:pPr>
        <w:spacing w:line="240" w:lineRule="auto"/>
        <w:rPr>
          <w:rFonts w:ascii="Times New Roman" w:eastAsia="Times New Roman" w:hAnsi="Times New Roman" w:cs="Times New Roman" w:hint="cs"/>
          <w:sz w:val="20"/>
          <w:szCs w:val="20"/>
        </w:rPr>
      </w:pPr>
    </w:p>
    <w:p w14:paraId="7FE19098"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noProof/>
          <w:sz w:val="20"/>
          <w:szCs w:val="20"/>
        </w:rPr>
        <w:drawing>
          <wp:inline distT="114300" distB="114300" distL="114300" distR="114300" wp14:anchorId="6C15B816" wp14:editId="18440939">
            <wp:extent cx="5731200" cy="26289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731200" cy="2628900"/>
                    </a:xfrm>
                    <a:prstGeom prst="rect">
                      <a:avLst/>
                    </a:prstGeom>
                    <a:ln/>
                  </pic:spPr>
                </pic:pic>
              </a:graphicData>
            </a:graphic>
          </wp:inline>
        </w:drawing>
      </w:r>
      <w:r w:rsidRPr="0052653D">
        <w:rPr>
          <w:rFonts w:ascii="Times New Roman" w:eastAsia="Times New Roman" w:hAnsi="Times New Roman" w:cs="Times New Roman" w:hint="cs"/>
          <w:b/>
          <w:bCs/>
          <w:sz w:val="20"/>
          <w:szCs w:val="20"/>
        </w:rPr>
        <w:t>Supplementary Fig. S2 | Exposure context for psychotropic organoid toxicity testing.</w:t>
      </w:r>
      <w:r w:rsidRPr="0052653D">
        <w:rPr>
          <w:rFonts w:ascii="Times New Roman" w:eastAsia="Times New Roman" w:hAnsi="Times New Roman" w:cs="Times New Roman" w:hint="cs"/>
          <w:sz w:val="20"/>
          <w:szCs w:val="20"/>
        </w:rPr>
        <w:t xml:space="preserve"> Approximate dose-derived concentration estimates are compared with organoid IC50 intervals for amitriptyline, aripiprazole, loxapine, quetiapine, sertraline and xanomeline. Diamonds indicate simplified dose-derived estimates, bars indicate organoid IC50 intervals, and rightward arrows indicate that IC50 was not reached within the tested concentration range. These estimates are intended only to contextualize the experimental concentration range and do not represent clinical Cmax, free plasma concentration, tissue exposure or prescribing recommendations.</w:t>
      </w:r>
    </w:p>
    <w:p w14:paraId="0B7520A4" w14:textId="77777777" w:rsidR="00DA7F75" w:rsidRPr="0052653D" w:rsidRDefault="00DA7F75">
      <w:pPr>
        <w:spacing w:after="100" w:line="240" w:lineRule="auto"/>
        <w:jc w:val="both"/>
        <w:rPr>
          <w:rFonts w:ascii="Times New Roman" w:eastAsia="Times New Roman" w:hAnsi="Times New Roman" w:cs="Times New Roman" w:hint="cs"/>
          <w:sz w:val="20"/>
          <w:szCs w:val="20"/>
        </w:rPr>
      </w:pPr>
    </w:p>
    <w:p w14:paraId="2771EC00" w14:textId="77777777" w:rsidR="00DA7F75" w:rsidRPr="0052653D" w:rsidRDefault="00DA7F75">
      <w:pPr>
        <w:spacing w:after="100" w:line="240" w:lineRule="auto"/>
        <w:jc w:val="both"/>
        <w:rPr>
          <w:rFonts w:ascii="Times New Roman" w:eastAsia="Times New Roman" w:hAnsi="Times New Roman" w:cs="Times New Roman" w:hint="cs"/>
          <w:sz w:val="20"/>
          <w:szCs w:val="20"/>
        </w:rPr>
      </w:pPr>
    </w:p>
    <w:p w14:paraId="58778D39" w14:textId="77777777" w:rsidR="00DA7F75" w:rsidRPr="0052653D" w:rsidRDefault="00DA7F75">
      <w:pPr>
        <w:spacing w:after="100" w:line="240" w:lineRule="auto"/>
        <w:jc w:val="both"/>
        <w:rPr>
          <w:rFonts w:ascii="Times New Roman" w:eastAsia="Times New Roman" w:hAnsi="Times New Roman" w:cs="Times New Roman" w:hint="cs"/>
          <w:sz w:val="20"/>
          <w:szCs w:val="20"/>
        </w:rPr>
      </w:pPr>
    </w:p>
    <w:p w14:paraId="7D7199A5" w14:textId="77777777" w:rsidR="00DA7F75" w:rsidRPr="0052653D" w:rsidRDefault="00000000">
      <w:pPr>
        <w:spacing w:after="100" w:line="240" w:lineRule="auto"/>
        <w:jc w:val="both"/>
        <w:rPr>
          <w:rFonts w:ascii="Times New Roman" w:eastAsia="Times New Roman" w:hAnsi="Times New Roman" w:cs="Times New Roman" w:hint="cs"/>
          <w:sz w:val="20"/>
          <w:szCs w:val="20"/>
        </w:rPr>
      </w:pPr>
      <w:r w:rsidRPr="0052653D">
        <w:rPr>
          <w:rFonts w:ascii="Times New Roman" w:eastAsia="Times New Roman" w:hAnsi="Times New Roman" w:cs="Times New Roman" w:hint="cs"/>
          <w:b/>
          <w:bCs/>
          <w:sz w:val="20"/>
          <w:szCs w:val="20"/>
        </w:rPr>
        <w:t>Movies S1-S3</w:t>
      </w:r>
      <w:r w:rsidRPr="0052653D">
        <w:rPr>
          <w:rFonts w:ascii="Times New Roman" w:eastAsia="Times New Roman" w:hAnsi="Times New Roman" w:cs="Times New Roman" w:hint="cs"/>
          <w:sz w:val="20"/>
          <w:szCs w:val="20"/>
        </w:rPr>
        <w:t xml:space="preserve">. Quetiapine and sertraline stopped visible cardiac organoid contractions at 20 µM under the tested in vitro conditions, indicating acute functional cardiac impairment. </w:t>
      </w:r>
    </w:p>
    <w:sectPr w:rsidR="00DA7F75" w:rsidRPr="0052653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53F549D-FA8C-BD4B-9CFA-7D27F2E17AF9}"/>
    <w:embedItalic r:id="rId2" w:fontKey="{B0680C58-CF75-F643-B24E-D914AF3FC3F3}"/>
  </w:font>
  <w:font w:name="Times New Roman">
    <w:panose1 w:val="02020603050405020304"/>
    <w:charset w:val="01"/>
    <w:family w:val="roman"/>
    <w:pitch w:val="variable"/>
    <w:sig w:usb0="E0002EFF" w:usb1="C000785B" w:usb2="00000009" w:usb3="00000000" w:csb0="000001FF" w:csb1="00000000"/>
    <w:embedRegular r:id="rId3" w:fontKey="{CF154434-A9A7-814C-8124-6BCF78C065FF}"/>
    <w:embedBold r:id="rId4" w:fontKey="{DF5F2E91-6918-E54A-93CC-84C6DDB49B76}"/>
    <w:embedItalic r:id="rId5" w:fontKey="{7A0D8767-4CF7-8440-8C47-0153B7FED2C6}"/>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embedRegular r:id="rId6" w:fontKey="{A9C2B01A-17CF-4449-9E97-A42076144AF5}"/>
  </w:font>
  <w:font w:name="Calibri">
    <w:panose1 w:val="020F0502020204030204"/>
    <w:charset w:val="00"/>
    <w:family w:val="swiss"/>
    <w:pitch w:val="variable"/>
    <w:sig w:usb0="E0002AFF" w:usb1="C000247B" w:usb2="00000009" w:usb3="00000000" w:csb0="000001FF" w:csb1="00000000"/>
    <w:embedRegular r:id="rId7" w:fontKey="{6382C47C-2A10-BB41-9886-647D52B1D587}"/>
  </w:font>
  <w:font w:name="Cambria">
    <w:panose1 w:val="02040503050406030204"/>
    <w:charset w:val="00"/>
    <w:family w:val="roman"/>
    <w:pitch w:val="variable"/>
    <w:sig w:usb0="E00002FF" w:usb1="400004FF" w:usb2="00000000" w:usb3="00000000" w:csb0="0000019F" w:csb1="00000000"/>
    <w:embedRegular r:id="rId8" w:fontKey="{F55324CA-6EBF-2C4C-B618-ED7C8531ABF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F75"/>
    <w:rsid w:val="0052653D"/>
    <w:rsid w:val="0087464D"/>
    <w:rsid w:val="00DA7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AE36CE2"/>
  <w15:docId w15:val="{F75B16DF-17B4-FF43-A72B-D1616A1B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1029</Words>
  <Characters>7352</Characters>
  <Application>Microsoft Office Word</Application>
  <DocSecurity>0</DocSecurity>
  <Lines>156</Lines>
  <Paragraphs>55</Paragraphs>
  <ScaleCrop>false</ScaleCrop>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Ianevski, Aleksandr</cp:lastModifiedBy>
  <cp:revision>2</cp:revision>
  <dcterms:created xsi:type="dcterms:W3CDTF">2026-06-10T11:58:00Z</dcterms:created>
  <dcterms:modified xsi:type="dcterms:W3CDTF">2026-06-10T11:59:00Z</dcterms:modified>
</cp:coreProperties>
</file>