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B4D7" w14:textId="77777777" w:rsidR="009D207E" w:rsidRDefault="009D207E" w:rsidP="009D207E">
      <w:pPr>
        <w:wordWrap w:val="0"/>
        <w:spacing w:line="480" w:lineRule="auto"/>
        <w:ind w:firstLineChars="200" w:firstLine="560"/>
        <w:jc w:val="center"/>
        <w:rPr>
          <w:rFonts w:ascii="Times New Roman" w:eastAsia="SimSun" w:hAnsi="Times New Roman" w:cs="Times New Roman"/>
          <w:kern w:val="0"/>
          <w:sz w:val="28"/>
          <w:szCs w:val="36"/>
        </w:rPr>
      </w:pPr>
      <w:r>
        <w:rPr>
          <w:rFonts w:ascii="Times New Roman" w:eastAsia="SimSun" w:hAnsi="Times New Roman" w:cs="Times New Roman"/>
          <w:kern w:val="0"/>
          <w:sz w:val="28"/>
          <w:szCs w:val="36"/>
        </w:rPr>
        <w:t>Supplementary Table S1 Multivariable logistic regression analysis for strict possible sarcopenia (</w:t>
      </w:r>
      <w:proofErr w:type="spellStart"/>
      <w:r>
        <w:rPr>
          <w:rFonts w:ascii="Times New Roman" w:eastAsia="SimSun" w:hAnsi="Times New Roman" w:cs="Times New Roman"/>
          <w:kern w:val="0"/>
          <w:sz w:val="28"/>
          <w:szCs w:val="36"/>
        </w:rPr>
        <w:t>poss_sarc_strict</w:t>
      </w:r>
      <w:proofErr w:type="spellEnd"/>
      <w:r>
        <w:rPr>
          <w:rFonts w:ascii="Times New Roman" w:eastAsia="SimSun" w:hAnsi="Times New Roman" w:cs="Times New Roman"/>
          <w:kern w:val="0"/>
          <w:sz w:val="28"/>
          <w:szCs w:val="36"/>
        </w:rPr>
        <w:t>)</w:t>
      </w:r>
    </w:p>
    <w:p w14:paraId="4C8465B0" w14:textId="77777777" w:rsidR="009D207E" w:rsidRDefault="009D207E" w:rsidP="009D207E">
      <w:pPr>
        <w:wordWrap w:val="0"/>
        <w:spacing w:line="480" w:lineRule="auto"/>
        <w:ind w:firstLineChars="200" w:firstLine="560"/>
        <w:jc w:val="center"/>
        <w:rPr>
          <w:rFonts w:ascii="Times New Roman" w:eastAsia="SimSun" w:hAnsi="Times New Roman" w:cs="Times New Roman"/>
          <w:kern w:val="0"/>
          <w:sz w:val="28"/>
          <w:szCs w:val="36"/>
        </w:rPr>
      </w:pPr>
    </w:p>
    <w:tbl>
      <w:tblPr>
        <w:tblW w:w="0" w:type="auto"/>
        <w:tblBorders>
          <w:top w:val="single" w:sz="4" w:space="0" w:color="DFE2E5"/>
          <w:left w:val="single" w:sz="2" w:space="0" w:color="E5E7EB"/>
          <w:bottom w:val="single" w:sz="2" w:space="0" w:color="E5E7EB"/>
          <w:right w:val="single" w:sz="2" w:space="0" w:color="E5E7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2212"/>
        <w:gridCol w:w="838"/>
        <w:gridCol w:w="751"/>
        <w:gridCol w:w="1273"/>
        <w:gridCol w:w="1142"/>
        <w:gridCol w:w="869"/>
      </w:tblGrid>
      <w:tr w:rsidR="009D207E" w14:paraId="7F549E80" w14:textId="77777777" w:rsidTr="00107E7E">
        <w:trPr>
          <w:tblHeader/>
        </w:trPr>
        <w:tc>
          <w:tcPr>
            <w:tcW w:w="194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E3DDE28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221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6804BCA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Group (Reference Group) 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2E88B7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β (B) 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E3BB458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382527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aOR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(Exp(B))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9A23F13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05A9D63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9D207E" w14:paraId="12935E69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C5195E6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Age (years) 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0F08D1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For every 1-year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760B06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35C101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DE351CD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4C5E576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1.081–1.150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700BE5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 w:rsidR="009D207E" w14:paraId="167EFF9C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A99A23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BMI (kg/m²)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2F0B0B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Per 1 kg/m² increase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6B7E758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83301C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7D7C48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B9A257C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0.695–0.793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39CEEB8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 w:rsidR="009D207E" w14:paraId="6F927962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120B354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Gender 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E8C651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Male vs. Female (Reference: Female)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B0E4F49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F048527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B74F6B9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129CA9C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0.680–1.473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B4E8D6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0.996</w:t>
            </w:r>
          </w:p>
        </w:tc>
      </w:tr>
      <w:tr w:rsidR="009D207E" w14:paraId="66F4F0C3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14798D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Sedentary time (log-transformed)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2BE5947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 Per 1-unit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B73B9F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1B2AD13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EA6720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271D60E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0.734–1.390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42DAA8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0.953</w:t>
            </w:r>
          </w:p>
        </w:tc>
      </w:tr>
      <w:tr w:rsidR="009D207E" w14:paraId="0FB03ABB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DC5473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Exercise frequency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44B36FE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Occasional vs. Inactive (Reference: Inactive)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48998D3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DB8958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D4CD201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7213D2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0.612–3.185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1345511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0.428</w:t>
            </w:r>
          </w:p>
        </w:tc>
      </w:tr>
      <w:tr w:rsidR="009D207E" w14:paraId="6119DA00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6C9CB5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68A6CF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≥1 time/week vs. Inactive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7825D7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F49CC51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D3030F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CD26E8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0.285–2.477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FE64CB7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0.753</w:t>
            </w:r>
          </w:p>
        </w:tc>
      </w:tr>
      <w:tr w:rsidR="009D207E" w14:paraId="6281A66F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7CD23D1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3E3DF64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Daily vs. Inactive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7FDF0B1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407AFB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5EBB04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DD7711C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0.802–1.903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D1B11AC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0.338</w:t>
            </w:r>
          </w:p>
        </w:tc>
      </w:tr>
      <w:tr w:rsidR="009D207E" w14:paraId="5FB67671" w14:textId="77777777" w:rsidTr="00107E7E"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2DADDF2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Smoking Status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1815CCA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Current Smoker vs. Never Smoker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AD17CFD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-0.498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1B4B3F3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C685A67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A60F544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0.164–2.253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4ADEEFF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0.456</w:t>
            </w:r>
          </w:p>
        </w:tc>
      </w:tr>
      <w:tr w:rsidR="009D207E" w14:paraId="12747153" w14:textId="77777777" w:rsidTr="00107E7E">
        <w:tc>
          <w:tcPr>
            <w:tcW w:w="194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5EAA3AA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Alcohol Consumption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595B01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Drinks Alcohol vs. 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ever drinking (Reference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:  </w:t>
            </w: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ever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 xml:space="preserve"> drinking)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A9020AB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6420535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DCE87DD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73EF950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0.465–6.651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5EF253E" w14:textId="77777777" w:rsidR="009D207E" w:rsidRDefault="009D207E" w:rsidP="00107E7E">
            <w:pPr>
              <w:widowControl/>
              <w:wordWrap w:val="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0.406</w:t>
            </w:r>
          </w:p>
        </w:tc>
      </w:tr>
    </w:tbl>
    <w:p w14:paraId="182C40AA" w14:textId="77777777" w:rsidR="009D207E" w:rsidRDefault="009D207E" w:rsidP="009D207E">
      <w:pPr>
        <w:wordWrap w:val="0"/>
        <w:spacing w:line="480" w:lineRule="auto"/>
        <w:rPr>
          <w:rFonts w:ascii="Times New Roman" w:eastAsia="SimSun" w:hAnsi="Times New Roman" w:cs="Times New Roman"/>
          <w:kern w:val="0"/>
          <w:sz w:val="28"/>
          <w:szCs w:val="36"/>
        </w:rPr>
      </w:pPr>
      <w:r>
        <w:rPr>
          <w:rFonts w:ascii="Times New Roman" w:eastAsia="SimSun" w:hAnsi="Times New Roman" w:cs="Times New Roman"/>
          <w:kern w:val="0"/>
          <w:sz w:val="28"/>
          <w:szCs w:val="36"/>
        </w:rPr>
        <w:t>Supplementary Table S1</w:t>
      </w:r>
      <w:r>
        <w:rPr>
          <w:rFonts w:ascii="Times New Roman" w:eastAsia="SimSun" w:hAnsi="Times New Roman" w:cs="Times New Roman" w:hint="eastAsia"/>
          <w:kern w:val="0"/>
          <w:sz w:val="28"/>
          <w:szCs w:val="36"/>
        </w:rPr>
        <w:t xml:space="preserve"> </w:t>
      </w:r>
      <w:r>
        <w:rPr>
          <w:rFonts w:ascii="Times New Roman" w:eastAsia="SimSun" w:hAnsi="Times New Roman" w:cs="Times New Roman"/>
          <w:kern w:val="0"/>
          <w:sz w:val="28"/>
          <w:szCs w:val="36"/>
        </w:rPr>
        <w:t>legend</w:t>
      </w:r>
      <w:r>
        <w:rPr>
          <w:rFonts w:ascii="Times New Roman" w:eastAsia="SimSun" w:hAnsi="Times New Roman" w:cs="Times New Roman" w:hint="eastAsia"/>
          <w:kern w:val="0"/>
          <w:sz w:val="28"/>
          <w:szCs w:val="36"/>
        </w:rPr>
        <w:t xml:space="preserve">: </w:t>
      </w:r>
      <w:r>
        <w:rPr>
          <w:rFonts w:ascii="Times New Roman" w:eastAsia="SimSun" w:hAnsi="Times New Roman" w:cs="Times New Roman"/>
          <w:kern w:val="0"/>
          <w:sz w:val="28"/>
          <w:szCs w:val="36"/>
        </w:rPr>
        <w:t>Values are presented as β coefficients, standard errors (SEs), adjusted odds ratios (</w:t>
      </w:r>
      <w:proofErr w:type="spellStart"/>
      <w:r>
        <w:rPr>
          <w:rFonts w:ascii="Times New Roman" w:eastAsia="SimSun" w:hAnsi="Times New Roman" w:cs="Times New Roman"/>
          <w:kern w:val="0"/>
          <w:sz w:val="28"/>
          <w:szCs w:val="36"/>
        </w:rPr>
        <w:t>aORs</w:t>
      </w:r>
      <w:proofErr w:type="spellEnd"/>
      <w:r>
        <w:rPr>
          <w:rFonts w:ascii="Times New Roman" w:eastAsia="SimSun" w:hAnsi="Times New Roman" w:cs="Times New Roman"/>
          <w:kern w:val="0"/>
          <w:sz w:val="28"/>
          <w:szCs w:val="36"/>
        </w:rPr>
        <w:t xml:space="preserve">), 95% confidence intervals (CIs), and P values. Age and BMI were analyzed as continuous variables. Sedentary time was log-transformed. Reference categories were female for sex, inactive for exercise frequency, never smoker for smoking status, and never drinking for alcohol consumption. Former smokers were excluded because of quasi-complete separation. </w:t>
      </w:r>
      <w:proofErr w:type="spellStart"/>
      <w:r>
        <w:rPr>
          <w:rFonts w:ascii="Times New Roman" w:eastAsia="SimSun" w:hAnsi="Times New Roman" w:cs="Times New Roman"/>
          <w:kern w:val="0"/>
          <w:sz w:val="28"/>
          <w:szCs w:val="36"/>
        </w:rPr>
        <w:t>aOR</w:t>
      </w:r>
      <w:proofErr w:type="spellEnd"/>
      <w:r>
        <w:rPr>
          <w:rFonts w:ascii="Times New Roman" w:eastAsia="SimSun" w:hAnsi="Times New Roman" w:cs="Times New Roman"/>
          <w:kern w:val="0"/>
          <w:sz w:val="28"/>
          <w:szCs w:val="36"/>
        </w:rPr>
        <w:t xml:space="preserve">, adjusted odds ratio; BMI, body mass index; CI, confidence interval; SE, </w:t>
      </w:r>
      <w:r>
        <w:rPr>
          <w:rFonts w:ascii="Times New Roman" w:eastAsia="SimSun" w:hAnsi="Times New Roman" w:cs="Times New Roman"/>
          <w:kern w:val="0"/>
          <w:sz w:val="28"/>
          <w:szCs w:val="36"/>
        </w:rPr>
        <w:lastRenderedPageBreak/>
        <w:t>standard error.</w:t>
      </w:r>
    </w:p>
    <w:p w14:paraId="35CC5492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E"/>
    <w:rsid w:val="000905F0"/>
    <w:rsid w:val="00112C91"/>
    <w:rsid w:val="00242B4F"/>
    <w:rsid w:val="00302F9E"/>
    <w:rsid w:val="004377CC"/>
    <w:rsid w:val="004E23CF"/>
    <w:rsid w:val="006D5216"/>
    <w:rsid w:val="009D207E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D427"/>
  <w15:chartTrackingRefBased/>
  <w15:docId w15:val="{274463CD-267D-4324-A023-4DDCB031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07E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07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07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07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07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07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07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07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07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07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07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07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07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2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07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2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07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1298</Characters>
  <Application>Microsoft Office Word</Application>
  <DocSecurity>0</DocSecurity>
  <Lines>44</Lines>
  <Paragraphs>30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2026-07-09T12:35:00Z</dcterms:created>
  <dcterms:modified xsi:type="dcterms:W3CDTF">2026-07-09T12:36:00Z</dcterms:modified>
</cp:coreProperties>
</file>