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E589" w14:textId="77777777" w:rsidR="0059256A" w:rsidRPr="002827EC" w:rsidRDefault="0059256A" w:rsidP="0059256A">
      <w:pPr>
        <w:pStyle w:val="Heading1"/>
        <w:rPr>
          <w:rFonts w:asciiTheme="minorHAnsi" w:hAnsiTheme="minorHAnsi" w:cstheme="minorHAnsi"/>
          <w:sz w:val="32"/>
          <w:szCs w:val="32"/>
        </w:rPr>
      </w:pPr>
      <w:r w:rsidRPr="002827EC">
        <w:rPr>
          <w:rFonts w:asciiTheme="minorHAnsi" w:hAnsiTheme="minorHAnsi" w:cstheme="minorHAnsi"/>
          <w:sz w:val="32"/>
          <w:szCs w:val="32"/>
        </w:rPr>
        <w:t>Appendix</w:t>
      </w:r>
    </w:p>
    <w:p w14:paraId="13C49B14" w14:textId="77777777" w:rsidR="0059256A" w:rsidRPr="002827EC" w:rsidRDefault="0059256A" w:rsidP="0059256A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2827EC">
        <w:rPr>
          <w:rFonts w:asciiTheme="minorHAnsi" w:hAnsiTheme="minorHAnsi" w:cstheme="minorHAnsi"/>
          <w:sz w:val="22"/>
          <w:szCs w:val="22"/>
        </w:rPr>
        <w:t>This appendix provides a concise overview of the key studies and data sources utilized to parameterize the cost-effectiveness model.</w:t>
      </w:r>
    </w:p>
    <w:p w14:paraId="787E0DBA" w14:textId="77777777" w:rsidR="0059256A" w:rsidRPr="002827EC" w:rsidRDefault="0059256A" w:rsidP="0059256A">
      <w:pPr>
        <w:pStyle w:val="NormalWeb"/>
        <w:rPr>
          <w:rStyle w:val="Strong"/>
          <w:rFonts w:asciiTheme="minorHAnsi" w:hAnsiTheme="minorHAnsi" w:cstheme="minorHAnsi"/>
          <w:b w:val="0"/>
        </w:rPr>
      </w:pPr>
      <w:r w:rsidRPr="002827EC">
        <w:rPr>
          <w:rStyle w:val="Strong"/>
          <w:rFonts w:asciiTheme="minorHAnsi" w:hAnsiTheme="minorHAnsi" w:cstheme="minorHAnsi"/>
          <w:b w:val="0"/>
        </w:rPr>
        <w:t>Table A.1: Summary of Evidence Base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59256A" w:rsidRPr="002827EC" w14:paraId="26F18B57" w14:textId="77777777" w:rsidTr="00F07BD9">
        <w:trPr>
          <w:trHeight w:val="642"/>
        </w:trPr>
        <w:tc>
          <w:tcPr>
            <w:tcW w:w="2254" w:type="dxa"/>
          </w:tcPr>
          <w:p w14:paraId="16E19302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Study / Source (Year)</w:t>
            </w:r>
          </w:p>
        </w:tc>
        <w:tc>
          <w:tcPr>
            <w:tcW w:w="2254" w:type="dxa"/>
          </w:tcPr>
          <w:p w14:paraId="66D15FB5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Intervention Focus</w:t>
            </w:r>
          </w:p>
        </w:tc>
        <w:tc>
          <w:tcPr>
            <w:tcW w:w="2254" w:type="dxa"/>
          </w:tcPr>
          <w:p w14:paraId="09519480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Key Finding for Model</w:t>
            </w:r>
          </w:p>
        </w:tc>
        <w:tc>
          <w:tcPr>
            <w:tcW w:w="2254" w:type="dxa"/>
          </w:tcPr>
          <w:p w14:paraId="19BA9BA3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Parameter Derived (ΔC or ΔE)</w:t>
            </w:r>
          </w:p>
        </w:tc>
      </w:tr>
      <w:tr w:rsidR="0059256A" w:rsidRPr="002827EC" w14:paraId="6F9AC858" w14:textId="77777777" w:rsidTr="00F07BD9">
        <w:trPr>
          <w:trHeight w:val="1119"/>
        </w:trPr>
        <w:tc>
          <w:tcPr>
            <w:tcW w:w="2254" w:type="dxa"/>
          </w:tcPr>
          <w:p w14:paraId="1B7B5B41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Style w:val="notion-enable-hover"/>
                <w:rFonts w:asciiTheme="minorHAnsi" w:hAnsiTheme="minorHAnsi" w:cstheme="minorHAnsi"/>
                <w:b/>
                <w:bCs/>
                <w:sz w:val="22"/>
                <w:szCs w:val="22"/>
              </w:rPr>
              <w:t>Gorard et al. (2023)</w:t>
            </w:r>
          </w:p>
        </w:tc>
        <w:tc>
          <w:tcPr>
            <w:tcW w:w="2254" w:type="dxa"/>
          </w:tcPr>
          <w:p w14:paraId="66688D80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Global review of multiple interventions</w:t>
            </w:r>
          </w:p>
        </w:tc>
        <w:tc>
          <w:tcPr>
            <w:tcW w:w="2254" w:type="dxa"/>
          </w:tcPr>
          <w:p w14:paraId="54094CE1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Identifies Conditional Cash Transfers (CCTs) as most promising; notes positive effects of meals and material provision.</w:t>
            </w:r>
          </w:p>
        </w:tc>
        <w:tc>
          <w:tcPr>
            <w:tcW w:w="2254" w:type="dxa"/>
          </w:tcPr>
          <w:p w14:paraId="03D7245D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Informs selection of the three modeled interventions.</w:t>
            </w:r>
          </w:p>
        </w:tc>
      </w:tr>
      <w:tr w:rsidR="0059256A" w:rsidRPr="002827EC" w14:paraId="6268C8D8" w14:textId="77777777" w:rsidTr="00F07BD9">
        <w:trPr>
          <w:trHeight w:val="1121"/>
        </w:trPr>
        <w:tc>
          <w:tcPr>
            <w:tcW w:w="2254" w:type="dxa"/>
          </w:tcPr>
          <w:p w14:paraId="2004B987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Style w:val="notion-enable-hover"/>
                <w:rFonts w:asciiTheme="minorHAnsi" w:hAnsiTheme="minorHAnsi" w:cstheme="minorHAnsi"/>
                <w:b/>
                <w:bCs/>
                <w:sz w:val="22"/>
                <w:szCs w:val="22"/>
              </w:rPr>
              <w:t>Raveenthiranathan et al. (2024)</w:t>
            </w:r>
          </w:p>
        </w:tc>
        <w:tc>
          <w:tcPr>
            <w:tcW w:w="2254" w:type="dxa"/>
          </w:tcPr>
          <w:p w14:paraId="704E36B3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Mid-Day Meal Scheme (India)</w:t>
            </w:r>
          </w:p>
        </w:tc>
        <w:tc>
          <w:tcPr>
            <w:tcW w:w="2254" w:type="dxa"/>
          </w:tcPr>
          <w:p w14:paraId="039555E3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Reports a significant positive effect on school attendance and provides an approximate annual cost per upper-primary student.</w:t>
            </w:r>
          </w:p>
        </w:tc>
        <w:tc>
          <w:tcPr>
            <w:tcW w:w="2254" w:type="dxa"/>
          </w:tcPr>
          <w:p w14:paraId="130C8576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ΔC for Free Meals = ₹1,600. ΔE set conservatively at 5 percentage points, informed by this and international evidence.</w:t>
            </w:r>
          </w:p>
        </w:tc>
      </w:tr>
      <w:tr w:rsidR="0059256A" w:rsidRPr="002827EC" w14:paraId="44739F9F" w14:textId="77777777" w:rsidTr="00F07BD9">
        <w:trPr>
          <w:trHeight w:val="1123"/>
        </w:trPr>
        <w:tc>
          <w:tcPr>
            <w:tcW w:w="2254" w:type="dxa"/>
          </w:tcPr>
          <w:p w14:paraId="68EE0386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Style w:val="notion-enable-hover"/>
                <w:rFonts w:asciiTheme="minorHAnsi" w:hAnsiTheme="minorHAnsi" w:cstheme="minorHAnsi"/>
                <w:b/>
                <w:bCs/>
                <w:sz w:val="22"/>
                <w:szCs w:val="22"/>
              </w:rPr>
              <w:t>Kanyashree Evaluation (2023)</w:t>
            </w:r>
          </w:p>
        </w:tc>
        <w:tc>
          <w:tcPr>
            <w:tcW w:w="2254" w:type="dxa"/>
          </w:tcPr>
          <w:p w14:paraId="0E0A0B97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Conditional Cash Transfer (India)</w:t>
            </w:r>
          </w:p>
        </w:tc>
        <w:tc>
          <w:tcPr>
            <w:tcW w:w="2254" w:type="dxa"/>
          </w:tcPr>
          <w:p w14:paraId="326B6684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Finds a 19 percentage-point increase in secondary school continuation for the poorest girls. Reports total program cost per beneficiary.</w:t>
            </w:r>
          </w:p>
        </w:tc>
        <w:tc>
          <w:tcPr>
            <w:tcW w:w="2254" w:type="dxa"/>
          </w:tcPr>
          <w:p w14:paraId="5D489471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ΔC for CCT = ₹5,600. ΔE for CCT (targeted) = 19%.</w:t>
            </w:r>
          </w:p>
        </w:tc>
      </w:tr>
      <w:tr w:rsidR="0059256A" w:rsidRPr="002827EC" w14:paraId="72A22AC4" w14:textId="77777777" w:rsidTr="00F07BD9">
        <w:trPr>
          <w:trHeight w:val="1125"/>
        </w:trPr>
        <w:tc>
          <w:tcPr>
            <w:tcW w:w="2254" w:type="dxa"/>
          </w:tcPr>
          <w:p w14:paraId="22BF782C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Style w:val="notion-enable-hover"/>
                <w:rFonts w:asciiTheme="minorHAnsi" w:hAnsiTheme="minorHAnsi" w:cstheme="minorHAnsi"/>
                <w:b/>
                <w:bCs/>
                <w:sz w:val="22"/>
                <w:szCs w:val="22"/>
              </w:rPr>
              <w:t>Evans &amp; Ngatia (2009)</w:t>
            </w:r>
          </w:p>
        </w:tc>
        <w:tc>
          <w:tcPr>
            <w:tcW w:w="2254" w:type="dxa"/>
          </w:tcPr>
          <w:p w14:paraId="2671E88F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Free Uniform Provision (Kenya)</w:t>
            </w:r>
          </w:p>
        </w:tc>
        <w:tc>
          <w:tcPr>
            <w:tcW w:w="2254" w:type="dxa"/>
          </w:tcPr>
          <w:p w14:paraId="7AF36EBE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A randomized controlled trial (RCT) finds free uniforms cause a 6.4 percentage-point increase in school attendance.</w:t>
            </w:r>
          </w:p>
        </w:tc>
        <w:tc>
          <w:tcPr>
            <w:tcW w:w="2254" w:type="dxa"/>
          </w:tcPr>
          <w:p w14:paraId="67EC6316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ΔE for Books &amp; Uniforms = 6.4% (used as a robust proxy for material provision).</w:t>
            </w:r>
          </w:p>
        </w:tc>
      </w:tr>
      <w:tr w:rsidR="0059256A" w:rsidRPr="002827EC" w14:paraId="52AFAECB" w14:textId="77777777" w:rsidTr="00F07BD9">
        <w:trPr>
          <w:trHeight w:val="1127"/>
        </w:trPr>
        <w:tc>
          <w:tcPr>
            <w:tcW w:w="2254" w:type="dxa"/>
          </w:tcPr>
          <w:p w14:paraId="524F90FF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Style w:val="notion-enable-hover"/>
                <w:rFonts w:asciiTheme="minorHAnsi" w:hAnsiTheme="minorHAnsi" w:cstheme="minorHAnsi"/>
                <w:b/>
                <w:bCs/>
                <w:sz w:val="22"/>
                <w:szCs w:val="22"/>
              </w:rPr>
              <w:t>Govt. of India Norms (2022-23)</w:t>
            </w:r>
          </w:p>
        </w:tc>
        <w:tc>
          <w:tcPr>
            <w:tcW w:w="2254" w:type="dxa"/>
          </w:tcPr>
          <w:p w14:paraId="517A60C6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Free Textbooks &amp; Uniforms (India)</w:t>
            </w:r>
          </w:p>
        </w:tc>
        <w:tc>
          <w:tcPr>
            <w:tcW w:w="2254" w:type="dxa"/>
          </w:tcPr>
          <w:p w14:paraId="5EDF7979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Official Samagra Shiksha financial norms specify per-child, per-year allocations.</w:t>
            </w:r>
          </w:p>
        </w:tc>
        <w:tc>
          <w:tcPr>
            <w:tcW w:w="2254" w:type="dxa"/>
          </w:tcPr>
          <w:p w14:paraId="3E44063A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ΔC for Books &amp; Uniforms = ₹1,000 (₹400 + ₹600).</w:t>
            </w:r>
          </w:p>
        </w:tc>
      </w:tr>
      <w:tr w:rsidR="0059256A" w:rsidRPr="002827EC" w14:paraId="1F45F858" w14:textId="77777777" w:rsidTr="00F07BD9">
        <w:trPr>
          <w:trHeight w:val="1129"/>
        </w:trPr>
        <w:tc>
          <w:tcPr>
            <w:tcW w:w="2254" w:type="dxa"/>
          </w:tcPr>
          <w:p w14:paraId="38D185C7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Style w:val="notion-enable-hover"/>
                <w:rFonts w:asciiTheme="minorHAnsi" w:hAnsiTheme="minorHAnsi" w:cstheme="minorHAnsi"/>
                <w:b/>
                <w:bCs/>
                <w:sz w:val="22"/>
                <w:szCs w:val="22"/>
              </w:rPr>
              <w:t>McEwan (2014)</w:t>
            </w:r>
          </w:p>
        </w:tc>
        <w:tc>
          <w:tcPr>
            <w:tcW w:w="2254" w:type="dxa"/>
          </w:tcPr>
          <w:p w14:paraId="5905E993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>Cost-Effectiveness Methodology</w:t>
            </w:r>
          </w:p>
        </w:tc>
        <w:tc>
          <w:tcPr>
            <w:tcW w:w="2254" w:type="dxa"/>
          </w:tcPr>
          <w:p w14:paraId="52DE94C7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t xml:space="preserve">Provides the standard framework for calculating Cost-Effectiveness Ratios (CER) and the </w:t>
            </w:r>
            <w:r w:rsidRPr="002827E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"ingredients" approach to costing.</w:t>
            </w:r>
          </w:p>
        </w:tc>
        <w:tc>
          <w:tcPr>
            <w:tcW w:w="2254" w:type="dxa"/>
          </w:tcPr>
          <w:p w14:paraId="3FFE711B" w14:textId="77777777" w:rsidR="0059256A" w:rsidRPr="002827EC" w:rsidRDefault="0059256A" w:rsidP="00F07BD9">
            <w:pPr>
              <w:pStyle w:val="NormalWeb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827E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Foundation for the analytical methodology (CER = ΔC/ΔE).</w:t>
            </w:r>
          </w:p>
        </w:tc>
      </w:tr>
    </w:tbl>
    <w:p w14:paraId="5A551225" w14:textId="77777777" w:rsidR="0059256A" w:rsidRPr="002827EC" w:rsidRDefault="0059256A" w:rsidP="0059256A">
      <w:pPr>
        <w:rPr>
          <w:rFonts w:cstheme="minorHAnsi"/>
          <w:sz w:val="24"/>
          <w:szCs w:val="24"/>
        </w:rPr>
      </w:pPr>
    </w:p>
    <w:p w14:paraId="0CA60EE7" w14:textId="77777777" w:rsidR="00E023F9" w:rsidRDefault="00E023F9"/>
    <w:sectPr w:rsidR="00E023F9" w:rsidSect="005925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56A"/>
    <w:rsid w:val="000C4033"/>
    <w:rsid w:val="00173ED8"/>
    <w:rsid w:val="004B42CB"/>
    <w:rsid w:val="0059256A"/>
    <w:rsid w:val="005F2B46"/>
    <w:rsid w:val="006E1731"/>
    <w:rsid w:val="00866D74"/>
    <w:rsid w:val="00882A73"/>
    <w:rsid w:val="0095305D"/>
    <w:rsid w:val="00B10170"/>
    <w:rsid w:val="00B260B7"/>
    <w:rsid w:val="00B85331"/>
    <w:rsid w:val="00DE7E69"/>
    <w:rsid w:val="00E023F9"/>
    <w:rsid w:val="00FE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B6E98"/>
  <w15:chartTrackingRefBased/>
  <w15:docId w15:val="{2E3A8311-49B4-439D-9A51-C1124714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56A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25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25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256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9256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256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9256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56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56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56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925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25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25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25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25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25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5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5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5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925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92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9256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925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256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925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9256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925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25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25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256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59256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5925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table" w:styleId="TableGrid">
    <w:name w:val="Table Grid"/>
    <w:basedOn w:val="TableNormal"/>
    <w:uiPriority w:val="39"/>
    <w:rsid w:val="0059256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ion-enable-hover">
    <w:name w:val="notion-enable-hover"/>
    <w:basedOn w:val="DefaultParagraphFont"/>
    <w:rsid w:val="00592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2026-06-12T06:58:00Z</dcterms:created>
  <dcterms:modified xsi:type="dcterms:W3CDTF">2026-06-12T06:58:00Z</dcterms:modified>
</cp:coreProperties>
</file>