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05F2C" w14:textId="77777777" w:rsidR="0029293D" w:rsidRPr="007D6AE6" w:rsidRDefault="0029293D">
      <w:pPr>
        <w:spacing w:before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39AFD68E" w14:textId="77777777" w:rsidR="0029293D" w:rsidRPr="007D6AE6" w:rsidRDefault="007D6AE6">
      <w:pPr>
        <w:spacing w:before="2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  <w:r w:rsidRPr="007D6AE6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 xml:space="preserve">Supplementary Information </w:t>
      </w:r>
    </w:p>
    <w:p w14:paraId="29C6C893" w14:textId="77777777" w:rsidR="0029293D" w:rsidRPr="007D6AE6" w:rsidRDefault="007D6AE6">
      <w:pPr>
        <w:spacing w:before="2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  <w:r w:rsidRPr="007D6AE6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>for</w:t>
      </w:r>
    </w:p>
    <w:p w14:paraId="675C49CD" w14:textId="305A02A2" w:rsidR="0029293D" w:rsidRPr="007D6AE6" w:rsidRDefault="007D6AE6">
      <w:pPr>
        <w:spacing w:before="2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  <w:r w:rsidRPr="007D6AE6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 xml:space="preserve">Light-dependent aggregate formation and photosynthetic acclimation during biofilm development in </w:t>
      </w:r>
      <w:proofErr w:type="spellStart"/>
      <w:r w:rsidRPr="007D6A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GB"/>
        </w:rPr>
        <w:t>Synechocystis</w:t>
      </w:r>
      <w:proofErr w:type="spellEnd"/>
      <w:r w:rsidRPr="007D6A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GB"/>
        </w:rPr>
        <w:t xml:space="preserve"> </w:t>
      </w:r>
      <w:r w:rsidRPr="007D6AE6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>sp</w:t>
      </w:r>
      <w:r w:rsidRPr="007D6A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GB"/>
        </w:rPr>
        <w:t>.</w:t>
      </w:r>
      <w:r w:rsidRPr="007D6AE6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 xml:space="preserve"> PCC 6803</w:t>
      </w:r>
    </w:p>
    <w:p w14:paraId="29FFC197" w14:textId="77777777" w:rsidR="007D6AE6" w:rsidRPr="007D6AE6" w:rsidRDefault="007D6AE6">
      <w:pPr>
        <w:spacing w:before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5A8832E2" w14:textId="77777777" w:rsidR="0029293D" w:rsidRPr="007D6AE6" w:rsidRDefault="007D6AE6">
      <w:pPr>
        <w:spacing w:before="20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</w:pPr>
      <w:r w:rsidRPr="007D6AE6">
        <w:rPr>
          <w:rFonts w:ascii="Times New Roman" w:eastAsia="Times New Roman" w:hAnsi="Times New Roman" w:cs="Times New Roman"/>
          <w:sz w:val="24"/>
          <w:szCs w:val="24"/>
          <w:lang w:val="en-GB"/>
        </w:rPr>
        <w:t>Mariann Kis</w:t>
      </w:r>
      <w:r w:rsidRPr="007D6AE6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7D6AE6">
        <w:rPr>
          <w:rFonts w:ascii="Times New Roman" w:eastAsia="Times New Roman" w:hAnsi="Times New Roman" w:cs="Times New Roman"/>
          <w:sz w:val="24"/>
          <w:szCs w:val="24"/>
          <w:lang w:val="en-GB"/>
        </w:rPr>
        <w:t>, Attila W. Kovács</w:t>
      </w:r>
      <w:r w:rsidRPr="007D6AE6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7D6A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Gábor Bernát</w:t>
      </w:r>
      <w:r w:rsidRPr="007D6AE6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1</w:t>
      </w:r>
    </w:p>
    <w:p w14:paraId="3614FA25" w14:textId="77777777" w:rsidR="0029293D" w:rsidRPr="007D6AE6" w:rsidRDefault="0029293D">
      <w:pPr>
        <w:spacing w:before="20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</w:pPr>
    </w:p>
    <w:p w14:paraId="5DCD2273" w14:textId="77777777" w:rsidR="0029293D" w:rsidRPr="007D6AE6" w:rsidRDefault="007D6AE6">
      <w:pPr>
        <w:spacing w:before="20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</w:pPr>
      <w:r w:rsidRPr="007D6AE6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val="en-GB"/>
        </w:rPr>
        <w:t>1</w:t>
      </w:r>
      <w:r w:rsidRPr="007D6AE6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HUN-REN Balaton Limnological Research Institute, </w:t>
      </w:r>
      <w:proofErr w:type="spellStart"/>
      <w:r w:rsidRPr="007D6AE6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Tihany</w:t>
      </w:r>
      <w:proofErr w:type="spellEnd"/>
      <w:r w:rsidRPr="007D6AE6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, 8237, Hungary</w:t>
      </w:r>
    </w:p>
    <w:p w14:paraId="21AF7AC8" w14:textId="77777777" w:rsidR="0029293D" w:rsidRPr="007D6AE6" w:rsidRDefault="007D6AE6">
      <w:pPr>
        <w:spacing w:before="20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</w:pPr>
      <w:r w:rsidRPr="007D6AE6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64061ECD" w14:textId="77777777" w:rsidR="0029293D" w:rsidRPr="007D6AE6" w:rsidRDefault="0029293D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9D877A3" w14:textId="77777777" w:rsidR="0029293D" w:rsidRPr="007D6AE6" w:rsidRDefault="0029293D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07287E6" w14:textId="77777777" w:rsidR="0029293D" w:rsidRPr="007D6AE6" w:rsidRDefault="007D6AE6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D6AE6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drawing>
          <wp:inline distT="114300" distB="114300" distL="114300" distR="114300" wp14:anchorId="3C6DF0D3" wp14:editId="60BCABA3">
            <wp:extent cx="5731200" cy="25908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9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D45AAC" w14:textId="77777777" w:rsidR="0029293D" w:rsidRPr="007D6AE6" w:rsidRDefault="007D6AE6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D6AE6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drawing>
          <wp:inline distT="114300" distB="114300" distL="114300" distR="114300" wp14:anchorId="41117604" wp14:editId="55E93D36">
            <wp:extent cx="5731200" cy="369570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9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A74358" w14:textId="77777777" w:rsidR="0029293D" w:rsidRPr="007D6AE6" w:rsidRDefault="007D6AE6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D6AE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Supplementary Table:</w:t>
      </w:r>
      <w:r w:rsidRPr="007D6A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Growth characteristics of planktonic (A, C) and biofilm (B, D) cultures of </w:t>
      </w:r>
      <w:proofErr w:type="spellStart"/>
      <w:r w:rsidRPr="007D6AE6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Synechocystis</w:t>
      </w:r>
      <w:proofErr w:type="spellEnd"/>
      <w:r w:rsidRPr="007D6A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sp. PCC 6803 GT-L exposed to different light intensities (PFD: 10-400 µmol photons m⁻² s⁻¹) and wavelengths (430–690 nm). The specific growth rate (</w:t>
      </w:r>
      <w:proofErr w:type="spellStart"/>
      <w:r w:rsidRPr="007D6AE6">
        <w:rPr>
          <w:rFonts w:ascii="Times New Roman" w:eastAsia="Times New Roman" w:hAnsi="Times New Roman" w:cs="Times New Roman"/>
          <w:sz w:val="24"/>
          <w:szCs w:val="24"/>
          <w:lang w:val="en-GB"/>
        </w:rPr>
        <w:t>μ</w:t>
      </w:r>
      <w:r w:rsidRPr="007D6AE6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max</w:t>
      </w:r>
      <w:proofErr w:type="spellEnd"/>
      <w:r w:rsidRPr="007D6AE6">
        <w:rPr>
          <w:rFonts w:ascii="Times New Roman" w:eastAsia="Times New Roman" w:hAnsi="Times New Roman" w:cs="Times New Roman"/>
          <w:sz w:val="24"/>
          <w:szCs w:val="24"/>
          <w:lang w:val="en-GB"/>
        </w:rPr>
        <w:t>, day</w:t>
      </w:r>
      <w:r w:rsidRPr="007D6AE6">
        <w:rPr>
          <w:rFonts w:ascii="Times New Roman" w:eastAsia="Gungsuh" w:hAnsi="Times New Roman" w:cs="Times New Roman"/>
          <w:sz w:val="24"/>
          <w:szCs w:val="24"/>
          <w:vertAlign w:val="superscript"/>
          <w:lang w:val="en-GB"/>
        </w:rPr>
        <w:t>−</w:t>
      </w:r>
      <w:r w:rsidRPr="007D6AE6">
        <w:rPr>
          <w:rFonts w:ascii="Times New Roman" w:eastAsia="Gungsuh" w:hAnsi="Times New Roman" w:cs="Times New Roman"/>
          <w:sz w:val="24"/>
          <w:szCs w:val="24"/>
          <w:vertAlign w:val="superscript"/>
          <w:lang w:val="en-GB"/>
        </w:rPr>
        <w:t>1</w:t>
      </w:r>
      <w:r w:rsidRPr="007D6AE6">
        <w:rPr>
          <w:rFonts w:ascii="Times New Roman" w:eastAsia="Times New Roman" w:hAnsi="Times New Roman" w:cs="Times New Roman"/>
          <w:sz w:val="24"/>
          <w:szCs w:val="24"/>
          <w:lang w:val="en-GB"/>
        </w:rPr>
        <w:t>) was calculated from OD</w:t>
      </w:r>
      <w:r w:rsidRPr="007D6AE6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750</w:t>
      </w:r>
      <w:r w:rsidRPr="007D6AE6">
        <w:rPr>
          <w:rFonts w:ascii="Times New Roman" w:eastAsia="Times New Roman" w:hAnsi="Times New Roman" w:cs="Times New Roman"/>
          <w:sz w:val="24"/>
          <w:szCs w:val="24"/>
          <w:lang w:val="en-GB"/>
        </w:rPr>
        <w:t>​​ values using the exponential growth equation. The initial optical density (OD</w:t>
      </w:r>
      <w:r w:rsidRPr="007D6AE6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750</w:t>
      </w:r>
      <w:r w:rsidRPr="007D6AE6">
        <w:rPr>
          <w:rFonts w:ascii="Times New Roman" w:eastAsia="Times New Roman" w:hAnsi="Times New Roman" w:cs="Times New Roman"/>
          <w:sz w:val="24"/>
          <w:szCs w:val="24"/>
          <w:lang w:val="en-GB"/>
        </w:rPr>
        <w:t>​) was adjusted based on previous growth rate data. Final OD</w:t>
      </w:r>
      <w:r w:rsidRPr="007D6AE6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750</w:t>
      </w:r>
      <w:r w:rsidRPr="007D6A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​​ values measured on the sampling day are also shown for each treatment. </w:t>
      </w:r>
    </w:p>
    <w:p w14:paraId="08CF25B1" w14:textId="77777777" w:rsidR="0029293D" w:rsidRPr="007D6AE6" w:rsidRDefault="007D6AE6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D6AE6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0DE5BCEA" w14:textId="77777777" w:rsidR="0029293D" w:rsidRPr="007D6AE6" w:rsidRDefault="0029293D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18D122B" w14:textId="77777777" w:rsidR="0029293D" w:rsidRPr="007D6AE6" w:rsidRDefault="007D6AE6">
      <w:pPr>
        <w:spacing w:before="240" w:after="240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7D6AE6">
        <w:rPr>
          <w:rFonts w:ascii="Times New Roman" w:hAnsi="Times New Roman" w:cs="Times New Roman"/>
          <w:b/>
          <w:bCs/>
          <w:sz w:val="28"/>
          <w:szCs w:val="28"/>
          <w:lang w:val="en-GB"/>
        </w:rPr>
        <w:t>Fiji – Image J macro code</w:t>
      </w:r>
    </w:p>
    <w:p w14:paraId="5BFEE3CF" w14:textId="77777777" w:rsidR="0029293D" w:rsidRPr="007D6AE6" w:rsidRDefault="007D6AE6">
      <w:pPr>
        <w:spacing w:before="240" w:after="240" w:line="240" w:lineRule="auto"/>
        <w:rPr>
          <w:sz w:val="24"/>
          <w:szCs w:val="24"/>
          <w:lang w:val="en-GB"/>
        </w:rPr>
      </w:pPr>
      <w:r w:rsidRPr="007D6AE6">
        <w:rPr>
          <w:sz w:val="24"/>
          <w:szCs w:val="24"/>
          <w:lang w:val="en-GB"/>
        </w:rPr>
        <w:t xml:space="preserve">// </w:t>
      </w:r>
      <w:proofErr w:type="spellStart"/>
      <w:r w:rsidRPr="007D6AE6">
        <w:rPr>
          <w:sz w:val="24"/>
          <w:szCs w:val="24"/>
          <w:lang w:val="en-GB"/>
        </w:rPr>
        <w:t>Synechocystis</w:t>
      </w:r>
      <w:proofErr w:type="spellEnd"/>
      <w:r w:rsidRPr="007D6AE6">
        <w:rPr>
          <w:sz w:val="24"/>
          <w:szCs w:val="24"/>
          <w:lang w:val="en-GB"/>
        </w:rPr>
        <w:t xml:space="preserve"> Cell Size and Shape Analyzer </w:t>
      </w:r>
    </w:p>
    <w:p w14:paraId="5C7658CF" w14:textId="77777777" w:rsidR="0029293D" w:rsidRPr="007D6AE6" w:rsidRDefault="007D6AE6">
      <w:pPr>
        <w:spacing w:before="240" w:after="240" w:line="240" w:lineRule="auto"/>
        <w:rPr>
          <w:sz w:val="24"/>
          <w:szCs w:val="24"/>
          <w:lang w:val="en-GB"/>
        </w:rPr>
      </w:pPr>
      <w:r w:rsidRPr="007D6AE6">
        <w:rPr>
          <w:sz w:val="24"/>
          <w:szCs w:val="24"/>
          <w:lang w:val="en-GB"/>
        </w:rPr>
        <w:t>// --- Parameters ---</w:t>
      </w:r>
    </w:p>
    <w:p w14:paraId="4339EA85" w14:textId="77777777" w:rsidR="0029293D" w:rsidRPr="007D6AE6" w:rsidRDefault="007D6AE6">
      <w:pPr>
        <w:spacing w:before="240" w:after="240" w:line="240" w:lineRule="auto"/>
        <w:rPr>
          <w:sz w:val="24"/>
          <w:szCs w:val="24"/>
          <w:lang w:val="en-GB"/>
        </w:rPr>
      </w:pPr>
      <w:proofErr w:type="spellStart"/>
      <w:r w:rsidRPr="007D6AE6">
        <w:rPr>
          <w:sz w:val="24"/>
          <w:szCs w:val="24"/>
          <w:lang w:val="en-GB"/>
        </w:rPr>
        <w:t>minSize</w:t>
      </w:r>
      <w:proofErr w:type="spellEnd"/>
      <w:r w:rsidRPr="007D6AE6">
        <w:rPr>
          <w:sz w:val="24"/>
          <w:szCs w:val="24"/>
          <w:lang w:val="en-GB"/>
        </w:rPr>
        <w:t xml:space="preserve"> = </w:t>
      </w:r>
      <w:proofErr w:type="gramStart"/>
      <w:r w:rsidRPr="007D6AE6">
        <w:rPr>
          <w:sz w:val="24"/>
          <w:szCs w:val="24"/>
          <w:lang w:val="en-GB"/>
        </w:rPr>
        <w:t>3 ;</w:t>
      </w:r>
      <w:proofErr w:type="gramEnd"/>
      <w:r w:rsidRPr="007D6AE6">
        <w:rPr>
          <w:sz w:val="24"/>
          <w:szCs w:val="24"/>
          <w:lang w:val="en-GB"/>
        </w:rPr>
        <w:tab/>
        <w:t>// Minimum cell size (µm2)</w:t>
      </w:r>
    </w:p>
    <w:p w14:paraId="1FE6CAAF" w14:textId="77777777" w:rsidR="0029293D" w:rsidRPr="007D6AE6" w:rsidRDefault="007D6AE6">
      <w:pPr>
        <w:spacing w:before="240" w:after="240" w:line="240" w:lineRule="auto"/>
        <w:rPr>
          <w:sz w:val="24"/>
          <w:szCs w:val="24"/>
          <w:lang w:val="en-GB"/>
        </w:rPr>
      </w:pPr>
      <w:proofErr w:type="spellStart"/>
      <w:r w:rsidRPr="007D6AE6">
        <w:rPr>
          <w:sz w:val="24"/>
          <w:szCs w:val="24"/>
          <w:lang w:val="en-GB"/>
        </w:rPr>
        <w:t>maxSize</w:t>
      </w:r>
      <w:proofErr w:type="spellEnd"/>
      <w:r w:rsidRPr="007D6AE6">
        <w:rPr>
          <w:sz w:val="24"/>
          <w:szCs w:val="24"/>
          <w:lang w:val="en-GB"/>
        </w:rPr>
        <w:t xml:space="preserve"> =</w:t>
      </w:r>
      <w:proofErr w:type="gramStart"/>
      <w:r w:rsidRPr="007D6AE6">
        <w:rPr>
          <w:sz w:val="24"/>
          <w:szCs w:val="24"/>
          <w:lang w:val="en-GB"/>
        </w:rPr>
        <w:t>3000 ;</w:t>
      </w:r>
      <w:proofErr w:type="gramEnd"/>
      <w:r w:rsidRPr="007D6AE6">
        <w:rPr>
          <w:sz w:val="24"/>
          <w:szCs w:val="24"/>
          <w:lang w:val="en-GB"/>
        </w:rPr>
        <w:t xml:space="preserve">  // Maximum cell size (µm2)</w:t>
      </w:r>
    </w:p>
    <w:p w14:paraId="73FA514C" w14:textId="77777777" w:rsidR="0029293D" w:rsidRPr="007D6AE6" w:rsidRDefault="007D6AE6">
      <w:pPr>
        <w:spacing w:before="240" w:after="240" w:line="240" w:lineRule="auto"/>
        <w:rPr>
          <w:sz w:val="24"/>
          <w:szCs w:val="24"/>
          <w:lang w:val="en-GB"/>
        </w:rPr>
      </w:pPr>
      <w:r w:rsidRPr="007D6AE6">
        <w:rPr>
          <w:sz w:val="24"/>
          <w:szCs w:val="24"/>
          <w:lang w:val="en-GB"/>
        </w:rPr>
        <w:t>// --- Start ---</w:t>
      </w:r>
    </w:p>
    <w:p w14:paraId="650DB383" w14:textId="77777777" w:rsidR="0029293D" w:rsidRPr="007D6AE6" w:rsidRDefault="007D6AE6">
      <w:pPr>
        <w:spacing w:before="240" w:after="240" w:line="240" w:lineRule="auto"/>
        <w:rPr>
          <w:sz w:val="24"/>
          <w:szCs w:val="24"/>
          <w:lang w:val="en-GB"/>
        </w:rPr>
      </w:pPr>
      <w:r w:rsidRPr="007D6AE6">
        <w:rPr>
          <w:sz w:val="24"/>
          <w:szCs w:val="24"/>
          <w:lang w:val="en-GB"/>
        </w:rPr>
        <w:t>run("8-bit");</w:t>
      </w:r>
    </w:p>
    <w:p w14:paraId="59AC9FCD" w14:textId="77777777" w:rsidR="0029293D" w:rsidRPr="007D6AE6" w:rsidRDefault="007D6AE6">
      <w:pPr>
        <w:spacing w:before="240" w:after="240" w:line="240" w:lineRule="auto"/>
        <w:rPr>
          <w:sz w:val="24"/>
          <w:szCs w:val="24"/>
          <w:lang w:val="en-GB"/>
        </w:rPr>
      </w:pPr>
      <w:proofErr w:type="gramStart"/>
      <w:r w:rsidRPr="007D6AE6">
        <w:rPr>
          <w:sz w:val="24"/>
          <w:szCs w:val="24"/>
          <w:lang w:val="en-GB"/>
        </w:rPr>
        <w:t>run(</w:t>
      </w:r>
      <w:proofErr w:type="gramEnd"/>
      <w:r w:rsidRPr="007D6AE6">
        <w:rPr>
          <w:sz w:val="24"/>
          <w:szCs w:val="24"/>
          <w:lang w:val="en-GB"/>
        </w:rPr>
        <w:t xml:space="preserve">"Set Measurements...", "area mean min centroid </w:t>
      </w:r>
      <w:proofErr w:type="spellStart"/>
      <w:r w:rsidRPr="007D6AE6">
        <w:rPr>
          <w:sz w:val="24"/>
          <w:szCs w:val="24"/>
          <w:lang w:val="en-GB"/>
        </w:rPr>
        <w:t>center</w:t>
      </w:r>
      <w:proofErr w:type="spellEnd"/>
      <w:r w:rsidRPr="007D6AE6">
        <w:rPr>
          <w:sz w:val="24"/>
          <w:szCs w:val="24"/>
          <w:lang w:val="en-GB"/>
        </w:rPr>
        <w:t xml:space="preserve"> perimeter bounding fit shape </w:t>
      </w:r>
      <w:proofErr w:type="spellStart"/>
      <w:r w:rsidRPr="007D6AE6">
        <w:rPr>
          <w:sz w:val="24"/>
          <w:szCs w:val="24"/>
          <w:lang w:val="en-GB"/>
        </w:rPr>
        <w:t>feret's</w:t>
      </w:r>
      <w:proofErr w:type="spellEnd"/>
      <w:r w:rsidRPr="007D6AE6">
        <w:rPr>
          <w:sz w:val="24"/>
          <w:szCs w:val="24"/>
          <w:lang w:val="en-GB"/>
        </w:rPr>
        <w:t xml:space="preserve"> add redirect=</w:t>
      </w:r>
      <w:proofErr w:type="gramStart"/>
      <w:r w:rsidRPr="007D6AE6">
        <w:rPr>
          <w:sz w:val="24"/>
          <w:szCs w:val="24"/>
          <w:lang w:val="en-GB"/>
        </w:rPr>
        <w:t>None</w:t>
      </w:r>
      <w:proofErr w:type="gramEnd"/>
      <w:r w:rsidRPr="007D6AE6">
        <w:rPr>
          <w:sz w:val="24"/>
          <w:szCs w:val="24"/>
          <w:lang w:val="en-GB"/>
        </w:rPr>
        <w:t xml:space="preserve"> decimal=3"); </w:t>
      </w:r>
    </w:p>
    <w:p w14:paraId="4E7B54F0" w14:textId="77777777" w:rsidR="0029293D" w:rsidRPr="007D6AE6" w:rsidRDefault="007D6AE6">
      <w:pPr>
        <w:spacing w:before="240" w:after="240" w:line="240" w:lineRule="auto"/>
        <w:rPr>
          <w:sz w:val="24"/>
          <w:szCs w:val="24"/>
          <w:lang w:val="en-GB"/>
        </w:rPr>
      </w:pPr>
      <w:r w:rsidRPr="007D6AE6">
        <w:rPr>
          <w:sz w:val="24"/>
          <w:szCs w:val="24"/>
          <w:lang w:val="en-GB"/>
        </w:rPr>
        <w:t>// Threshold &amp; binarize</w:t>
      </w:r>
    </w:p>
    <w:p w14:paraId="6C765061" w14:textId="77777777" w:rsidR="0029293D" w:rsidRPr="007D6AE6" w:rsidRDefault="007D6AE6">
      <w:pPr>
        <w:spacing w:before="240" w:after="240" w:line="240" w:lineRule="auto"/>
        <w:rPr>
          <w:sz w:val="24"/>
          <w:szCs w:val="24"/>
          <w:lang w:val="en-GB"/>
        </w:rPr>
      </w:pPr>
      <w:proofErr w:type="spellStart"/>
      <w:proofErr w:type="gramStart"/>
      <w:r w:rsidRPr="007D6AE6">
        <w:rPr>
          <w:sz w:val="24"/>
          <w:szCs w:val="24"/>
          <w:lang w:val="en-GB"/>
        </w:rPr>
        <w:t>setOption</w:t>
      </w:r>
      <w:proofErr w:type="spellEnd"/>
      <w:r w:rsidRPr="007D6AE6">
        <w:rPr>
          <w:sz w:val="24"/>
          <w:szCs w:val="24"/>
          <w:lang w:val="en-GB"/>
        </w:rPr>
        <w:t>(</w:t>
      </w:r>
      <w:proofErr w:type="gramEnd"/>
      <w:r w:rsidRPr="007D6AE6">
        <w:rPr>
          <w:sz w:val="24"/>
          <w:szCs w:val="24"/>
          <w:lang w:val="en-GB"/>
        </w:rPr>
        <w:t>"</w:t>
      </w:r>
      <w:proofErr w:type="spellStart"/>
      <w:r w:rsidRPr="007D6AE6">
        <w:rPr>
          <w:sz w:val="24"/>
          <w:szCs w:val="24"/>
          <w:lang w:val="en-GB"/>
        </w:rPr>
        <w:t>BlackBackground</w:t>
      </w:r>
      <w:proofErr w:type="spellEnd"/>
      <w:r w:rsidRPr="007D6AE6">
        <w:rPr>
          <w:sz w:val="24"/>
          <w:szCs w:val="24"/>
          <w:lang w:val="en-GB"/>
        </w:rPr>
        <w:t>", false);</w:t>
      </w:r>
    </w:p>
    <w:p w14:paraId="11F6873C" w14:textId="77777777" w:rsidR="0029293D" w:rsidRPr="007D6AE6" w:rsidRDefault="007D6AE6">
      <w:pPr>
        <w:spacing w:before="240" w:after="240" w:line="240" w:lineRule="auto"/>
        <w:rPr>
          <w:sz w:val="24"/>
          <w:szCs w:val="24"/>
          <w:lang w:val="en-GB"/>
        </w:rPr>
      </w:pPr>
      <w:proofErr w:type="gramStart"/>
      <w:r w:rsidRPr="007D6AE6">
        <w:rPr>
          <w:sz w:val="24"/>
          <w:szCs w:val="24"/>
          <w:lang w:val="en-GB"/>
        </w:rPr>
        <w:t>run(</w:t>
      </w:r>
      <w:proofErr w:type="gramEnd"/>
      <w:r w:rsidRPr="007D6AE6">
        <w:rPr>
          <w:sz w:val="24"/>
          <w:szCs w:val="24"/>
          <w:lang w:val="en-GB"/>
        </w:rPr>
        <w:t>"Convert to Mask");</w:t>
      </w:r>
    </w:p>
    <w:p w14:paraId="39AED526" w14:textId="77777777" w:rsidR="0029293D" w:rsidRPr="007D6AE6" w:rsidRDefault="007D6AE6">
      <w:pPr>
        <w:spacing w:before="240" w:after="240" w:line="240" w:lineRule="auto"/>
        <w:rPr>
          <w:sz w:val="24"/>
          <w:szCs w:val="24"/>
          <w:lang w:val="en-GB"/>
        </w:rPr>
      </w:pPr>
      <w:r w:rsidRPr="007D6AE6">
        <w:rPr>
          <w:sz w:val="24"/>
          <w:szCs w:val="24"/>
          <w:lang w:val="en-GB"/>
        </w:rPr>
        <w:t>// Optional: Fill holes and separate touching cells</w:t>
      </w:r>
    </w:p>
    <w:p w14:paraId="0333F02B" w14:textId="77777777" w:rsidR="0029293D" w:rsidRPr="007D6AE6" w:rsidRDefault="007D6AE6">
      <w:pPr>
        <w:spacing w:before="240" w:after="240" w:line="240" w:lineRule="auto"/>
        <w:rPr>
          <w:sz w:val="24"/>
          <w:szCs w:val="24"/>
          <w:lang w:val="en-GB"/>
        </w:rPr>
      </w:pPr>
      <w:proofErr w:type="gramStart"/>
      <w:r w:rsidRPr="007D6AE6">
        <w:rPr>
          <w:sz w:val="24"/>
          <w:szCs w:val="24"/>
          <w:lang w:val="en-GB"/>
        </w:rPr>
        <w:t>run(</w:t>
      </w:r>
      <w:proofErr w:type="gramEnd"/>
      <w:r w:rsidRPr="007D6AE6">
        <w:rPr>
          <w:sz w:val="24"/>
          <w:szCs w:val="24"/>
          <w:lang w:val="en-GB"/>
        </w:rPr>
        <w:t>"Fill Holes");</w:t>
      </w:r>
    </w:p>
    <w:p w14:paraId="7A916188" w14:textId="77777777" w:rsidR="0029293D" w:rsidRPr="007D6AE6" w:rsidRDefault="007D6AE6">
      <w:pPr>
        <w:spacing w:before="240" w:after="240" w:line="240" w:lineRule="auto"/>
        <w:rPr>
          <w:sz w:val="24"/>
          <w:szCs w:val="24"/>
          <w:lang w:val="en-GB"/>
        </w:rPr>
      </w:pPr>
      <w:r w:rsidRPr="007D6AE6">
        <w:rPr>
          <w:sz w:val="24"/>
          <w:szCs w:val="24"/>
          <w:lang w:val="en-GB"/>
        </w:rPr>
        <w:t>run("Watershed");</w:t>
      </w:r>
    </w:p>
    <w:p w14:paraId="36579C4A" w14:textId="77777777" w:rsidR="0029293D" w:rsidRPr="007D6AE6" w:rsidRDefault="007D6AE6">
      <w:pPr>
        <w:spacing w:before="240" w:after="240" w:line="240" w:lineRule="auto"/>
        <w:rPr>
          <w:sz w:val="24"/>
          <w:szCs w:val="24"/>
          <w:lang w:val="en-GB"/>
        </w:rPr>
      </w:pPr>
      <w:r w:rsidRPr="007D6AE6">
        <w:rPr>
          <w:sz w:val="24"/>
          <w:szCs w:val="24"/>
          <w:lang w:val="en-GB"/>
        </w:rPr>
        <w:t xml:space="preserve">// </w:t>
      </w:r>
      <w:proofErr w:type="spellStart"/>
      <w:r w:rsidRPr="007D6AE6">
        <w:rPr>
          <w:sz w:val="24"/>
          <w:szCs w:val="24"/>
          <w:lang w:val="en-GB"/>
        </w:rPr>
        <w:t>Analyze</w:t>
      </w:r>
      <w:proofErr w:type="spellEnd"/>
      <w:r w:rsidRPr="007D6AE6">
        <w:rPr>
          <w:sz w:val="24"/>
          <w:szCs w:val="24"/>
          <w:lang w:val="en-GB"/>
        </w:rPr>
        <w:t xml:space="preserve"> particles</w:t>
      </w:r>
    </w:p>
    <w:p w14:paraId="5A13936E" w14:textId="77777777" w:rsidR="0029293D" w:rsidRPr="007D6AE6" w:rsidRDefault="007D6AE6">
      <w:pPr>
        <w:spacing w:before="240" w:after="240" w:line="240" w:lineRule="auto"/>
        <w:rPr>
          <w:sz w:val="24"/>
          <w:szCs w:val="24"/>
          <w:lang w:val="en-GB"/>
        </w:rPr>
      </w:pPr>
      <w:proofErr w:type="gramStart"/>
      <w:r w:rsidRPr="007D6AE6">
        <w:rPr>
          <w:sz w:val="24"/>
          <w:szCs w:val="24"/>
          <w:lang w:val="en-GB"/>
        </w:rPr>
        <w:t>run(</w:t>
      </w:r>
      <w:proofErr w:type="gramEnd"/>
      <w:r w:rsidRPr="007D6AE6">
        <w:rPr>
          <w:sz w:val="24"/>
          <w:szCs w:val="24"/>
          <w:lang w:val="en-GB"/>
        </w:rPr>
        <w:t>"</w:t>
      </w:r>
      <w:proofErr w:type="spellStart"/>
      <w:r w:rsidRPr="007D6AE6">
        <w:rPr>
          <w:sz w:val="24"/>
          <w:szCs w:val="24"/>
          <w:lang w:val="en-GB"/>
        </w:rPr>
        <w:t>Analyze</w:t>
      </w:r>
      <w:proofErr w:type="spellEnd"/>
      <w:r w:rsidRPr="007D6AE6">
        <w:rPr>
          <w:sz w:val="24"/>
          <w:szCs w:val="24"/>
          <w:lang w:val="en-GB"/>
        </w:rPr>
        <w:t xml:space="preserve"> Particles...", "size="+</w:t>
      </w:r>
      <w:proofErr w:type="spellStart"/>
      <w:r w:rsidRPr="007D6AE6">
        <w:rPr>
          <w:sz w:val="24"/>
          <w:szCs w:val="24"/>
          <w:lang w:val="en-GB"/>
        </w:rPr>
        <w:t>minSize</w:t>
      </w:r>
      <w:proofErr w:type="spellEnd"/>
      <w:r w:rsidRPr="007D6AE6">
        <w:rPr>
          <w:sz w:val="24"/>
          <w:szCs w:val="24"/>
          <w:lang w:val="en-GB"/>
        </w:rPr>
        <w:t>+"-"+</w:t>
      </w:r>
      <w:proofErr w:type="spellStart"/>
      <w:r w:rsidRPr="007D6AE6">
        <w:rPr>
          <w:sz w:val="24"/>
          <w:szCs w:val="24"/>
          <w:lang w:val="en-GB"/>
        </w:rPr>
        <w:t>maxSize</w:t>
      </w:r>
      <w:proofErr w:type="spellEnd"/>
      <w:r w:rsidRPr="007D6AE6">
        <w:rPr>
          <w:sz w:val="24"/>
          <w:szCs w:val="24"/>
          <w:lang w:val="en-GB"/>
        </w:rPr>
        <w:t xml:space="preserve">+" show=Outlines display </w:t>
      </w:r>
      <w:proofErr w:type="gramStart"/>
      <w:r w:rsidRPr="007D6AE6">
        <w:rPr>
          <w:sz w:val="24"/>
          <w:szCs w:val="24"/>
          <w:lang w:val="en-GB"/>
        </w:rPr>
        <w:t>exclude</w:t>
      </w:r>
      <w:proofErr w:type="gramEnd"/>
      <w:r w:rsidRPr="007D6AE6">
        <w:rPr>
          <w:sz w:val="24"/>
          <w:szCs w:val="24"/>
          <w:lang w:val="en-GB"/>
        </w:rPr>
        <w:t xml:space="preserve"> clear");</w:t>
      </w:r>
    </w:p>
    <w:p w14:paraId="3C0BC6EA" w14:textId="77777777" w:rsidR="0029293D" w:rsidRPr="007D6AE6" w:rsidRDefault="007D6AE6">
      <w:pPr>
        <w:spacing w:before="240" w:after="240" w:line="240" w:lineRule="auto"/>
        <w:rPr>
          <w:sz w:val="24"/>
          <w:szCs w:val="24"/>
          <w:lang w:val="en-GB"/>
        </w:rPr>
      </w:pPr>
      <w:r w:rsidRPr="007D6AE6">
        <w:rPr>
          <w:sz w:val="24"/>
          <w:szCs w:val="24"/>
          <w:lang w:val="en-GB"/>
        </w:rPr>
        <w:t>// Save results</w:t>
      </w:r>
    </w:p>
    <w:p w14:paraId="2ADAE4B0" w14:textId="77777777" w:rsidR="0029293D" w:rsidRPr="007D6AE6" w:rsidRDefault="007D6AE6">
      <w:pPr>
        <w:spacing w:before="240" w:after="240" w:line="240" w:lineRule="auto"/>
        <w:rPr>
          <w:sz w:val="24"/>
          <w:szCs w:val="24"/>
          <w:lang w:val="en-GB"/>
        </w:rPr>
      </w:pPr>
      <w:proofErr w:type="spellStart"/>
      <w:proofErr w:type="gramStart"/>
      <w:r w:rsidRPr="007D6AE6">
        <w:rPr>
          <w:sz w:val="24"/>
          <w:szCs w:val="24"/>
          <w:lang w:val="en-GB"/>
        </w:rPr>
        <w:t>saveAs</w:t>
      </w:r>
      <w:proofErr w:type="spellEnd"/>
      <w:r w:rsidRPr="007D6AE6">
        <w:rPr>
          <w:sz w:val="24"/>
          <w:szCs w:val="24"/>
          <w:lang w:val="en-GB"/>
        </w:rPr>
        <w:t>(</w:t>
      </w:r>
      <w:proofErr w:type="gramEnd"/>
      <w:r w:rsidRPr="007D6AE6">
        <w:rPr>
          <w:sz w:val="24"/>
          <w:szCs w:val="24"/>
          <w:lang w:val="en-GB"/>
        </w:rPr>
        <w:t xml:space="preserve">"Results", </w:t>
      </w:r>
      <w:proofErr w:type="spellStart"/>
      <w:r w:rsidRPr="007D6AE6">
        <w:rPr>
          <w:sz w:val="24"/>
          <w:szCs w:val="24"/>
          <w:lang w:val="en-GB"/>
        </w:rPr>
        <w:t>getDirectory</w:t>
      </w:r>
      <w:proofErr w:type="spellEnd"/>
      <w:r w:rsidRPr="007D6AE6">
        <w:rPr>
          <w:sz w:val="24"/>
          <w:szCs w:val="24"/>
          <w:lang w:val="en-GB"/>
        </w:rPr>
        <w:t>("current") + "Synechocystis_Cell_Measurements.csv");</w:t>
      </w:r>
    </w:p>
    <w:p w14:paraId="2A83FA12" w14:textId="77777777" w:rsidR="0029293D" w:rsidRPr="007D6AE6" w:rsidRDefault="0029293D">
      <w:pPr>
        <w:spacing w:before="240" w:after="24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41D5EFB" w14:textId="77777777" w:rsidR="0029293D" w:rsidRPr="007D6AE6" w:rsidRDefault="007D6AE6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D6A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References: ImageJ user guide: </w:t>
      </w:r>
      <w:hyperlink r:id="rId6">
        <w:r w:rsidRPr="007D6AE6">
          <w:rPr>
            <w:rFonts w:ascii="Times New Roman" w:eastAsia="Times New Roman" w:hAnsi="Times New Roman" w:cs="Times New Roman"/>
            <w:sz w:val="24"/>
            <w:szCs w:val="24"/>
            <w:u w:val="single"/>
            <w:lang w:val="en-GB"/>
          </w:rPr>
          <w:t>https://imagej.net/imaging/particle-analysis</w:t>
        </w:r>
      </w:hyperlink>
    </w:p>
    <w:p w14:paraId="15D17FE1" w14:textId="77777777" w:rsidR="0029293D" w:rsidRPr="007D6AE6" w:rsidRDefault="0029293D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1239329" w14:textId="77777777" w:rsidR="0029293D" w:rsidRPr="007D6AE6" w:rsidRDefault="007D6AE6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7D6AE6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 </w:t>
      </w:r>
      <w:r w:rsidRPr="007D6AE6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114300" distB="114300" distL="114300" distR="114300" wp14:anchorId="6FDE1E93" wp14:editId="3747E510">
            <wp:extent cx="4220096" cy="3228373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0096" cy="32283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D15D1D" w14:textId="77777777" w:rsidR="0029293D" w:rsidRPr="007D6AE6" w:rsidRDefault="007D6AE6">
      <w:pPr>
        <w:spacing w:before="240" w:after="24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7D6A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D6AE6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114300" distB="114300" distL="114300" distR="114300" wp14:anchorId="5C2B73CC" wp14:editId="0A0642E9">
            <wp:extent cx="4248671" cy="3244632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8671" cy="32446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EE1DD8" w14:textId="77777777" w:rsidR="0029293D" w:rsidRPr="007D6AE6" w:rsidRDefault="007D6AE6">
      <w:pPr>
        <w:spacing w:before="2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D6AE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Supplementary Figure 1. </w:t>
      </w:r>
      <w:r w:rsidRPr="007D6A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Log-normal scale (μ) and shape (σ) parameters as a function of PFD and monochromatic cultivation wavelength. The μ parameter reflects the central tendency of aggregate size, while σ describes distribution breadth and heterogeneity. In all analyses, small objects (&lt;10 µm²; single cells and early 3–5-cell microcolonies) were excluded. Per treatment, 1000–3000 raw objects were initially detected, yielding 200–600 aggregates suitable for log-normal </w:t>
      </w:r>
      <w:proofErr w:type="spellStart"/>
      <w:r w:rsidRPr="007D6AE6">
        <w:rPr>
          <w:rFonts w:ascii="Times New Roman" w:eastAsia="Times New Roman" w:hAnsi="Times New Roman" w:cs="Times New Roman"/>
          <w:sz w:val="24"/>
          <w:szCs w:val="24"/>
          <w:lang w:val="en-GB"/>
        </w:rPr>
        <w:t>modeling</w:t>
      </w:r>
      <w:proofErr w:type="spellEnd"/>
      <w:r w:rsidRPr="007D6AE6">
        <w:rPr>
          <w:rFonts w:ascii="Times New Roman" w:eastAsia="Times New Roman" w:hAnsi="Times New Roman" w:cs="Times New Roman"/>
          <w:sz w:val="24"/>
          <w:szCs w:val="24"/>
          <w:lang w:val="en-GB"/>
        </w:rPr>
        <w:t>. Percentile trimming (the upper 5%, retaining the lowe</w:t>
      </w:r>
      <w:r w:rsidRPr="007D6A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r 95%) </w:t>
      </w:r>
      <w:proofErr w:type="gramStart"/>
      <w:r w:rsidRPr="007D6AE6">
        <w:rPr>
          <w:rFonts w:ascii="Times New Roman" w:eastAsia="Times New Roman" w:hAnsi="Times New Roman" w:cs="Times New Roman"/>
          <w:sz w:val="24"/>
          <w:szCs w:val="24"/>
          <w:lang w:val="en-GB"/>
        </w:rPr>
        <w:t>were</w:t>
      </w:r>
      <w:proofErr w:type="gramEnd"/>
      <w:r w:rsidRPr="007D6A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used to exclude merged aggregates. </w:t>
      </w:r>
    </w:p>
    <w:p w14:paraId="67FBA821" w14:textId="77777777" w:rsidR="0029293D" w:rsidRPr="007D6AE6" w:rsidRDefault="007D6AE6">
      <w:pPr>
        <w:spacing w:before="240" w:after="240"/>
        <w:rPr>
          <w:rFonts w:ascii="Times New Roman" w:hAnsi="Times New Roman" w:cs="Times New Roman"/>
          <w:sz w:val="24"/>
          <w:szCs w:val="24"/>
          <w:lang w:val="en-GB"/>
        </w:rPr>
      </w:pPr>
      <w:r w:rsidRPr="007D6A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sectPr w:rsidR="0029293D" w:rsidRPr="007D6AE6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1" w:fontKey="{40C0AC79-92FC-436A-A69D-7BCBB03C8F3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B3F1C703-D94A-4D2A-B87C-0C92A0F335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93D"/>
    <w:rsid w:val="0029293D"/>
    <w:rsid w:val="007D6AE6"/>
    <w:rsid w:val="00EA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96DDAE"/>
  <w15:docId w15:val="{92E885C1-9FE1-4D7B-A8E0-EEB4A423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agej.net/imaging/particle-analysis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287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kism</cp:lastModifiedBy>
  <cp:revision>2</cp:revision>
  <dcterms:created xsi:type="dcterms:W3CDTF">2026-06-10T12:13:00Z</dcterms:created>
  <dcterms:modified xsi:type="dcterms:W3CDTF">2026-06-10T12:16:00Z</dcterms:modified>
</cp:coreProperties>
</file>