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B1DC" w14:textId="77777777" w:rsidR="009F5BD0" w:rsidRDefault="009F5BD0" w:rsidP="009F5BD0">
      <w:pPr>
        <w:pStyle w:val="NormalWeb"/>
        <w:spacing w:before="0" w:beforeAutospacing="0" w:after="0" w:afterAutospacing="0" w:line="360" w:lineRule="auto"/>
        <w:jc w:val="both"/>
        <w:rPr>
          <w:lang w:val="en-US"/>
        </w:rPr>
      </w:pPr>
      <w:r w:rsidRPr="00AB04B5">
        <w:rPr>
          <w:lang w:val="en-US"/>
        </w:rPr>
        <w:t>Supplementary Table 1. Quantity of each colour solution (Arcos®, Brazil) diluted in 100 mL of water.</w:t>
      </w:r>
    </w:p>
    <w:tbl>
      <w:tblPr>
        <w:tblStyle w:val="GridTable1Light-Accent1"/>
        <w:tblW w:w="7656" w:type="dxa"/>
        <w:tblInd w:w="4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543"/>
        <w:gridCol w:w="1977"/>
        <w:gridCol w:w="1818"/>
        <w:gridCol w:w="1941"/>
      </w:tblGrid>
      <w:tr w:rsidR="009F5BD0" w:rsidRPr="00AE5FE8" w14:paraId="03D5BE40" w14:textId="77777777" w:rsidTr="005231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Borders>
              <w:top w:val="single" w:sz="4" w:space="0" w:color="auto"/>
              <w:bottom w:val="single" w:sz="4" w:space="0" w:color="auto"/>
            </w:tcBorders>
            <w:vAlign w:val="center"/>
          </w:tcPr>
          <w:p w14:paraId="21C813E6" w14:textId="77777777" w:rsidR="009F5BD0" w:rsidRPr="00AE5FE8" w:rsidRDefault="009F5BD0" w:rsidP="005231C8">
            <w:pPr>
              <w:spacing w:line="360" w:lineRule="auto"/>
              <w:jc w:val="center"/>
              <w:rPr>
                <w:sz w:val="24"/>
                <w:szCs w:val="24"/>
              </w:rPr>
            </w:pPr>
            <w:r w:rsidRPr="00AE5FE8">
              <w:rPr>
                <w:sz w:val="24"/>
                <w:szCs w:val="24"/>
              </w:rPr>
              <w:t>Colour</w:t>
            </w:r>
          </w:p>
        </w:tc>
        <w:tc>
          <w:tcPr>
            <w:tcW w:w="543" w:type="dxa"/>
            <w:tcBorders>
              <w:top w:val="single" w:sz="4" w:space="0" w:color="auto"/>
              <w:bottom w:val="single" w:sz="4" w:space="0" w:color="auto"/>
            </w:tcBorders>
            <w:vAlign w:val="center"/>
          </w:tcPr>
          <w:p w14:paraId="13B02344" w14:textId="77777777" w:rsidR="009F5BD0" w:rsidRPr="00AE5FE8" w:rsidRDefault="009F5BD0" w:rsidP="005231C8">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p>
        </w:tc>
        <w:tc>
          <w:tcPr>
            <w:tcW w:w="1977" w:type="dxa"/>
            <w:tcBorders>
              <w:top w:val="single" w:sz="4" w:space="0" w:color="auto"/>
              <w:bottom w:val="single" w:sz="4" w:space="0" w:color="auto"/>
            </w:tcBorders>
            <w:vAlign w:val="center"/>
          </w:tcPr>
          <w:p w14:paraId="6745B0D5" w14:textId="77777777" w:rsidR="009F5BD0" w:rsidRPr="00AE5FE8" w:rsidRDefault="009F5BD0" w:rsidP="005231C8">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E5FE8">
              <w:rPr>
                <w:sz w:val="24"/>
                <w:szCs w:val="24"/>
              </w:rPr>
              <w:t xml:space="preserve">Hexadecimal </w:t>
            </w:r>
            <w:r>
              <w:rPr>
                <w:sz w:val="24"/>
                <w:szCs w:val="24"/>
              </w:rPr>
              <w:t>c</w:t>
            </w:r>
            <w:r w:rsidRPr="00AE5FE8">
              <w:rPr>
                <w:sz w:val="24"/>
                <w:szCs w:val="24"/>
              </w:rPr>
              <w:t>ode</w:t>
            </w:r>
          </w:p>
        </w:tc>
        <w:tc>
          <w:tcPr>
            <w:tcW w:w="1818" w:type="dxa"/>
            <w:tcBorders>
              <w:top w:val="single" w:sz="4" w:space="0" w:color="auto"/>
              <w:bottom w:val="single" w:sz="4" w:space="0" w:color="auto"/>
            </w:tcBorders>
            <w:vAlign w:val="center"/>
          </w:tcPr>
          <w:p w14:paraId="779DC001" w14:textId="77777777" w:rsidR="009F5BD0" w:rsidRPr="00AE5FE8" w:rsidRDefault="009F5BD0" w:rsidP="005231C8">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E5FE8">
              <w:rPr>
                <w:sz w:val="24"/>
                <w:szCs w:val="24"/>
                <w:lang w:val="en-US"/>
              </w:rPr>
              <w:t xml:space="preserve">Name of Food </w:t>
            </w:r>
            <w:r>
              <w:rPr>
                <w:sz w:val="24"/>
                <w:szCs w:val="24"/>
                <w:lang w:val="en-US"/>
              </w:rPr>
              <w:t>c</w:t>
            </w:r>
            <w:r w:rsidRPr="00AE5FE8">
              <w:rPr>
                <w:sz w:val="24"/>
                <w:szCs w:val="24"/>
                <w:lang w:val="en-US"/>
              </w:rPr>
              <w:t>olouring</w:t>
            </w:r>
          </w:p>
        </w:tc>
        <w:tc>
          <w:tcPr>
            <w:tcW w:w="1941" w:type="dxa"/>
            <w:tcBorders>
              <w:top w:val="single" w:sz="4" w:space="0" w:color="auto"/>
              <w:bottom w:val="single" w:sz="4" w:space="0" w:color="auto"/>
            </w:tcBorders>
            <w:vAlign w:val="center"/>
          </w:tcPr>
          <w:p w14:paraId="79DBE464" w14:textId="77777777" w:rsidR="009F5BD0" w:rsidRPr="00AE5FE8" w:rsidRDefault="009F5BD0" w:rsidP="005231C8">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E5FE8">
              <w:rPr>
                <w:sz w:val="24"/>
                <w:szCs w:val="24"/>
              </w:rPr>
              <w:t>Quantity (</w:t>
            </w:r>
            <w:r w:rsidRPr="00AE5FE8">
              <w:rPr>
                <w:color w:val="202124"/>
                <w:sz w:val="24"/>
                <w:szCs w:val="24"/>
                <w:shd w:val="clear" w:color="auto" w:fill="FFFFFF"/>
              </w:rPr>
              <w:t>µL)</w:t>
            </w:r>
          </w:p>
        </w:tc>
      </w:tr>
      <w:tr w:rsidR="009F5BD0" w:rsidRPr="00AE5FE8" w14:paraId="746A02BE" w14:textId="77777777" w:rsidTr="005231C8">
        <w:trPr>
          <w:trHeight w:val="384"/>
        </w:trPr>
        <w:tc>
          <w:tcPr>
            <w:cnfStyle w:val="001000000000" w:firstRow="0" w:lastRow="0" w:firstColumn="1" w:lastColumn="0" w:oddVBand="0" w:evenVBand="0" w:oddHBand="0" w:evenHBand="0" w:firstRowFirstColumn="0" w:firstRowLastColumn="0" w:lastRowFirstColumn="0" w:lastRowLastColumn="0"/>
            <w:tcW w:w="1377" w:type="dxa"/>
            <w:tcBorders>
              <w:top w:val="single" w:sz="4" w:space="0" w:color="auto"/>
            </w:tcBorders>
            <w:vAlign w:val="center"/>
          </w:tcPr>
          <w:p w14:paraId="39F062B6" w14:textId="77777777" w:rsidR="009F5BD0" w:rsidRPr="00AE5FE8" w:rsidRDefault="009F5BD0" w:rsidP="005231C8">
            <w:pPr>
              <w:spacing w:line="360" w:lineRule="auto"/>
              <w:jc w:val="center"/>
              <w:rPr>
                <w:b w:val="0"/>
                <w:bCs w:val="0"/>
                <w:sz w:val="24"/>
                <w:szCs w:val="24"/>
              </w:rPr>
            </w:pPr>
            <w:r w:rsidRPr="00AE5FE8">
              <w:rPr>
                <w:b w:val="0"/>
                <w:bCs w:val="0"/>
                <w:sz w:val="24"/>
                <w:szCs w:val="24"/>
              </w:rPr>
              <w:t>Red</w:t>
            </w:r>
          </w:p>
        </w:tc>
        <w:tc>
          <w:tcPr>
            <w:tcW w:w="543" w:type="dxa"/>
            <w:tcBorders>
              <w:top w:val="single" w:sz="4" w:space="0" w:color="auto"/>
            </w:tcBorders>
            <w:shd w:val="clear" w:color="auto" w:fill="FF0000"/>
            <w:vAlign w:val="center"/>
          </w:tcPr>
          <w:p w14:paraId="5607A234"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tcBorders>
              <w:top w:val="single" w:sz="4" w:space="0" w:color="auto"/>
            </w:tcBorders>
            <w:vAlign w:val="center"/>
          </w:tcPr>
          <w:p w14:paraId="7DE686AB"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#FF0000</w:t>
            </w:r>
          </w:p>
        </w:tc>
        <w:tc>
          <w:tcPr>
            <w:tcW w:w="1818" w:type="dxa"/>
            <w:tcBorders>
              <w:top w:val="single" w:sz="4" w:space="0" w:color="auto"/>
            </w:tcBorders>
            <w:vAlign w:val="center"/>
          </w:tcPr>
          <w:p w14:paraId="0FC94FE6"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Red</w:t>
            </w:r>
          </w:p>
        </w:tc>
        <w:tc>
          <w:tcPr>
            <w:tcW w:w="1941" w:type="dxa"/>
            <w:tcBorders>
              <w:top w:val="single" w:sz="4" w:space="0" w:color="auto"/>
            </w:tcBorders>
            <w:vAlign w:val="center"/>
          </w:tcPr>
          <w:p w14:paraId="390AF51C"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200</w:t>
            </w:r>
          </w:p>
        </w:tc>
      </w:tr>
      <w:tr w:rsidR="009F5BD0" w:rsidRPr="00AE5FE8" w14:paraId="03D5BFC0" w14:textId="77777777" w:rsidTr="005231C8">
        <w:tc>
          <w:tcPr>
            <w:cnfStyle w:val="001000000000" w:firstRow="0" w:lastRow="0" w:firstColumn="1" w:lastColumn="0" w:oddVBand="0" w:evenVBand="0" w:oddHBand="0" w:evenHBand="0" w:firstRowFirstColumn="0" w:firstRowLastColumn="0" w:lastRowFirstColumn="0" w:lastRowLastColumn="0"/>
            <w:tcW w:w="1377" w:type="dxa"/>
            <w:vMerge w:val="restart"/>
            <w:vAlign w:val="center"/>
          </w:tcPr>
          <w:p w14:paraId="21F82F7B" w14:textId="77777777" w:rsidR="009F5BD0" w:rsidRPr="00AE5FE8" w:rsidRDefault="009F5BD0" w:rsidP="005231C8">
            <w:pPr>
              <w:spacing w:line="360" w:lineRule="auto"/>
              <w:jc w:val="center"/>
              <w:rPr>
                <w:b w:val="0"/>
                <w:bCs w:val="0"/>
                <w:sz w:val="24"/>
                <w:szCs w:val="24"/>
              </w:rPr>
            </w:pPr>
            <w:r w:rsidRPr="00AE5FE8">
              <w:rPr>
                <w:b w:val="0"/>
                <w:bCs w:val="0"/>
                <w:sz w:val="24"/>
                <w:szCs w:val="24"/>
              </w:rPr>
              <w:t>Blue</w:t>
            </w:r>
          </w:p>
        </w:tc>
        <w:tc>
          <w:tcPr>
            <w:tcW w:w="543" w:type="dxa"/>
            <w:vMerge w:val="restart"/>
            <w:shd w:val="clear" w:color="auto" w:fill="0000FF"/>
            <w:vAlign w:val="center"/>
          </w:tcPr>
          <w:p w14:paraId="49425048"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Merge w:val="restart"/>
            <w:vAlign w:val="center"/>
          </w:tcPr>
          <w:p w14:paraId="100EC8C1"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#0000FF</w:t>
            </w:r>
          </w:p>
        </w:tc>
        <w:tc>
          <w:tcPr>
            <w:tcW w:w="1818" w:type="dxa"/>
            <w:vAlign w:val="center"/>
          </w:tcPr>
          <w:p w14:paraId="22384B7D"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Purple</w:t>
            </w:r>
          </w:p>
        </w:tc>
        <w:tc>
          <w:tcPr>
            <w:tcW w:w="1941" w:type="dxa"/>
            <w:vAlign w:val="center"/>
          </w:tcPr>
          <w:p w14:paraId="64B4B6CD"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w:t>
            </w:r>
          </w:p>
        </w:tc>
      </w:tr>
      <w:tr w:rsidR="009F5BD0" w:rsidRPr="00AE5FE8" w14:paraId="6BC1B3A8" w14:textId="77777777" w:rsidTr="005231C8">
        <w:tc>
          <w:tcPr>
            <w:cnfStyle w:val="001000000000" w:firstRow="0" w:lastRow="0" w:firstColumn="1" w:lastColumn="0" w:oddVBand="0" w:evenVBand="0" w:oddHBand="0" w:evenHBand="0" w:firstRowFirstColumn="0" w:firstRowLastColumn="0" w:lastRowFirstColumn="0" w:lastRowLastColumn="0"/>
            <w:tcW w:w="1377" w:type="dxa"/>
            <w:vMerge/>
            <w:vAlign w:val="center"/>
          </w:tcPr>
          <w:p w14:paraId="3A29E418" w14:textId="77777777" w:rsidR="009F5BD0" w:rsidRPr="00AE5FE8" w:rsidRDefault="009F5BD0" w:rsidP="005231C8">
            <w:pPr>
              <w:spacing w:line="360" w:lineRule="auto"/>
              <w:jc w:val="center"/>
              <w:rPr>
                <w:b w:val="0"/>
                <w:bCs w:val="0"/>
                <w:sz w:val="24"/>
                <w:szCs w:val="24"/>
              </w:rPr>
            </w:pPr>
          </w:p>
        </w:tc>
        <w:tc>
          <w:tcPr>
            <w:tcW w:w="543" w:type="dxa"/>
            <w:vMerge/>
            <w:shd w:val="clear" w:color="auto" w:fill="0000FF"/>
            <w:vAlign w:val="center"/>
          </w:tcPr>
          <w:p w14:paraId="74204129"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Merge/>
            <w:vAlign w:val="center"/>
          </w:tcPr>
          <w:p w14:paraId="1470B6EF"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18" w:type="dxa"/>
            <w:vAlign w:val="center"/>
          </w:tcPr>
          <w:p w14:paraId="4326BE2C"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lang w:val="en"/>
              </w:rPr>
              <w:t>Turquoise blue</w:t>
            </w:r>
          </w:p>
        </w:tc>
        <w:tc>
          <w:tcPr>
            <w:tcW w:w="1941" w:type="dxa"/>
            <w:vAlign w:val="center"/>
          </w:tcPr>
          <w:p w14:paraId="405A8589"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w:t>
            </w:r>
          </w:p>
        </w:tc>
      </w:tr>
      <w:tr w:rsidR="009F5BD0" w:rsidRPr="00AE5FE8" w14:paraId="5125C4A8" w14:textId="77777777" w:rsidTr="005231C8">
        <w:trPr>
          <w:trHeight w:val="352"/>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01161A8A" w14:textId="77777777" w:rsidR="009F5BD0" w:rsidRPr="00AE5FE8" w:rsidRDefault="009F5BD0" w:rsidP="005231C8">
            <w:pPr>
              <w:spacing w:line="360" w:lineRule="auto"/>
              <w:jc w:val="center"/>
              <w:rPr>
                <w:b w:val="0"/>
                <w:bCs w:val="0"/>
                <w:sz w:val="24"/>
                <w:szCs w:val="24"/>
              </w:rPr>
            </w:pPr>
            <w:r w:rsidRPr="00AE5FE8">
              <w:rPr>
                <w:b w:val="0"/>
                <w:bCs w:val="0"/>
                <w:sz w:val="24"/>
                <w:szCs w:val="24"/>
              </w:rPr>
              <w:t>Yellow</w:t>
            </w:r>
          </w:p>
        </w:tc>
        <w:tc>
          <w:tcPr>
            <w:tcW w:w="543" w:type="dxa"/>
            <w:shd w:val="clear" w:color="auto" w:fill="FFFF00"/>
            <w:vAlign w:val="center"/>
          </w:tcPr>
          <w:p w14:paraId="4804BFD4"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Align w:val="center"/>
          </w:tcPr>
          <w:p w14:paraId="793FFB7C"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#FFFF00</w:t>
            </w:r>
          </w:p>
        </w:tc>
        <w:tc>
          <w:tcPr>
            <w:tcW w:w="1818" w:type="dxa"/>
            <w:vAlign w:val="center"/>
          </w:tcPr>
          <w:p w14:paraId="269FB6B0"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Yellow</w:t>
            </w:r>
          </w:p>
        </w:tc>
        <w:tc>
          <w:tcPr>
            <w:tcW w:w="1941" w:type="dxa"/>
            <w:vAlign w:val="center"/>
          </w:tcPr>
          <w:p w14:paraId="5830547B"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200</w:t>
            </w:r>
          </w:p>
        </w:tc>
      </w:tr>
      <w:tr w:rsidR="009F5BD0" w:rsidRPr="00AE5FE8" w14:paraId="4B155AE0" w14:textId="77777777" w:rsidTr="005231C8">
        <w:tc>
          <w:tcPr>
            <w:cnfStyle w:val="001000000000" w:firstRow="0" w:lastRow="0" w:firstColumn="1" w:lastColumn="0" w:oddVBand="0" w:evenVBand="0" w:oddHBand="0" w:evenHBand="0" w:firstRowFirstColumn="0" w:firstRowLastColumn="0" w:lastRowFirstColumn="0" w:lastRowLastColumn="0"/>
            <w:tcW w:w="1377" w:type="dxa"/>
            <w:vMerge w:val="restart"/>
            <w:vAlign w:val="center"/>
          </w:tcPr>
          <w:p w14:paraId="30F62FEF" w14:textId="77777777" w:rsidR="009F5BD0" w:rsidRPr="00AE5FE8" w:rsidRDefault="009F5BD0" w:rsidP="005231C8">
            <w:pPr>
              <w:spacing w:line="360" w:lineRule="auto"/>
              <w:jc w:val="center"/>
              <w:rPr>
                <w:b w:val="0"/>
                <w:bCs w:val="0"/>
                <w:sz w:val="24"/>
                <w:szCs w:val="24"/>
              </w:rPr>
            </w:pPr>
            <w:r w:rsidRPr="00AE5FE8">
              <w:rPr>
                <w:b w:val="0"/>
                <w:bCs w:val="0"/>
                <w:sz w:val="24"/>
                <w:szCs w:val="24"/>
              </w:rPr>
              <w:t>Brown</w:t>
            </w:r>
          </w:p>
        </w:tc>
        <w:tc>
          <w:tcPr>
            <w:tcW w:w="543" w:type="dxa"/>
            <w:vMerge w:val="restart"/>
            <w:shd w:val="clear" w:color="auto" w:fill="800000"/>
            <w:vAlign w:val="center"/>
          </w:tcPr>
          <w:p w14:paraId="6F99A190"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Merge w:val="restart"/>
            <w:vAlign w:val="center"/>
          </w:tcPr>
          <w:p w14:paraId="73D804ED"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#800000</w:t>
            </w:r>
          </w:p>
        </w:tc>
        <w:tc>
          <w:tcPr>
            <w:tcW w:w="1818" w:type="dxa"/>
            <w:vAlign w:val="center"/>
          </w:tcPr>
          <w:p w14:paraId="4141DC6D"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Brown</w:t>
            </w:r>
          </w:p>
        </w:tc>
        <w:tc>
          <w:tcPr>
            <w:tcW w:w="1941" w:type="dxa"/>
            <w:vAlign w:val="center"/>
          </w:tcPr>
          <w:p w14:paraId="16B223D5"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200</w:t>
            </w:r>
          </w:p>
        </w:tc>
      </w:tr>
      <w:tr w:rsidR="009F5BD0" w:rsidRPr="00AE5FE8" w14:paraId="2BDFA50F" w14:textId="77777777" w:rsidTr="005231C8">
        <w:tc>
          <w:tcPr>
            <w:cnfStyle w:val="001000000000" w:firstRow="0" w:lastRow="0" w:firstColumn="1" w:lastColumn="0" w:oddVBand="0" w:evenVBand="0" w:oddHBand="0" w:evenHBand="0" w:firstRowFirstColumn="0" w:firstRowLastColumn="0" w:lastRowFirstColumn="0" w:lastRowLastColumn="0"/>
            <w:tcW w:w="1377" w:type="dxa"/>
            <w:vMerge/>
            <w:vAlign w:val="center"/>
          </w:tcPr>
          <w:p w14:paraId="0D4C1B92" w14:textId="77777777" w:rsidR="009F5BD0" w:rsidRPr="00AE5FE8" w:rsidRDefault="009F5BD0" w:rsidP="005231C8">
            <w:pPr>
              <w:spacing w:line="360" w:lineRule="auto"/>
              <w:jc w:val="center"/>
              <w:rPr>
                <w:b w:val="0"/>
                <w:bCs w:val="0"/>
                <w:sz w:val="24"/>
                <w:szCs w:val="24"/>
              </w:rPr>
            </w:pPr>
          </w:p>
        </w:tc>
        <w:tc>
          <w:tcPr>
            <w:tcW w:w="543" w:type="dxa"/>
            <w:vMerge/>
            <w:shd w:val="clear" w:color="auto" w:fill="800000"/>
            <w:vAlign w:val="center"/>
          </w:tcPr>
          <w:p w14:paraId="3BCA5B80"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Merge/>
            <w:vAlign w:val="center"/>
          </w:tcPr>
          <w:p w14:paraId="5D24FE76"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18" w:type="dxa"/>
            <w:vAlign w:val="center"/>
          </w:tcPr>
          <w:p w14:paraId="6F42E136"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Red</w:t>
            </w:r>
          </w:p>
        </w:tc>
        <w:tc>
          <w:tcPr>
            <w:tcW w:w="1941" w:type="dxa"/>
            <w:vAlign w:val="center"/>
          </w:tcPr>
          <w:p w14:paraId="73C6C77B"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w:t>
            </w:r>
          </w:p>
        </w:tc>
      </w:tr>
      <w:tr w:rsidR="009F5BD0" w:rsidRPr="00AE5FE8" w14:paraId="52813761" w14:textId="77777777" w:rsidTr="005231C8">
        <w:tc>
          <w:tcPr>
            <w:cnfStyle w:val="001000000000" w:firstRow="0" w:lastRow="0" w:firstColumn="1" w:lastColumn="0" w:oddVBand="0" w:evenVBand="0" w:oddHBand="0" w:evenHBand="0" w:firstRowFirstColumn="0" w:firstRowLastColumn="0" w:lastRowFirstColumn="0" w:lastRowLastColumn="0"/>
            <w:tcW w:w="1377" w:type="dxa"/>
            <w:vMerge w:val="restart"/>
            <w:vAlign w:val="center"/>
          </w:tcPr>
          <w:p w14:paraId="3DCBEF2A" w14:textId="77777777" w:rsidR="009F5BD0" w:rsidRPr="00AE5FE8" w:rsidRDefault="009F5BD0" w:rsidP="005231C8">
            <w:pPr>
              <w:spacing w:line="360" w:lineRule="auto"/>
              <w:jc w:val="center"/>
              <w:rPr>
                <w:b w:val="0"/>
                <w:bCs w:val="0"/>
                <w:sz w:val="24"/>
                <w:szCs w:val="24"/>
              </w:rPr>
            </w:pPr>
            <w:r w:rsidRPr="00AE5FE8">
              <w:rPr>
                <w:b w:val="0"/>
                <w:bCs w:val="0"/>
                <w:sz w:val="24"/>
                <w:szCs w:val="24"/>
              </w:rPr>
              <w:t>Green</w:t>
            </w:r>
          </w:p>
        </w:tc>
        <w:tc>
          <w:tcPr>
            <w:tcW w:w="543" w:type="dxa"/>
            <w:vMerge w:val="restart"/>
            <w:shd w:val="clear" w:color="auto" w:fill="008000"/>
            <w:vAlign w:val="center"/>
          </w:tcPr>
          <w:p w14:paraId="53A2F95F"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Merge w:val="restart"/>
            <w:vAlign w:val="center"/>
          </w:tcPr>
          <w:p w14:paraId="2E45868F"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#008000</w:t>
            </w:r>
          </w:p>
        </w:tc>
        <w:tc>
          <w:tcPr>
            <w:tcW w:w="1818" w:type="dxa"/>
            <w:vAlign w:val="center"/>
          </w:tcPr>
          <w:p w14:paraId="3C47D5A5"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Green Lemon</w:t>
            </w:r>
          </w:p>
        </w:tc>
        <w:tc>
          <w:tcPr>
            <w:tcW w:w="1941" w:type="dxa"/>
            <w:vAlign w:val="center"/>
          </w:tcPr>
          <w:p w14:paraId="2ADBEF89"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50</w:t>
            </w:r>
          </w:p>
        </w:tc>
      </w:tr>
      <w:tr w:rsidR="009F5BD0" w:rsidRPr="00AE5FE8" w14:paraId="243BB146" w14:textId="77777777" w:rsidTr="005231C8">
        <w:tc>
          <w:tcPr>
            <w:cnfStyle w:val="001000000000" w:firstRow="0" w:lastRow="0" w:firstColumn="1" w:lastColumn="0" w:oddVBand="0" w:evenVBand="0" w:oddHBand="0" w:evenHBand="0" w:firstRowFirstColumn="0" w:firstRowLastColumn="0" w:lastRowFirstColumn="0" w:lastRowLastColumn="0"/>
            <w:tcW w:w="1377" w:type="dxa"/>
            <w:vMerge/>
            <w:vAlign w:val="center"/>
          </w:tcPr>
          <w:p w14:paraId="4236718F" w14:textId="77777777" w:rsidR="009F5BD0" w:rsidRPr="00AE5FE8" w:rsidRDefault="009F5BD0" w:rsidP="005231C8">
            <w:pPr>
              <w:spacing w:line="360" w:lineRule="auto"/>
              <w:jc w:val="center"/>
              <w:rPr>
                <w:b w:val="0"/>
                <w:bCs w:val="0"/>
                <w:sz w:val="24"/>
                <w:szCs w:val="24"/>
              </w:rPr>
            </w:pPr>
          </w:p>
        </w:tc>
        <w:tc>
          <w:tcPr>
            <w:tcW w:w="543" w:type="dxa"/>
            <w:vMerge/>
            <w:shd w:val="clear" w:color="auto" w:fill="008000"/>
            <w:vAlign w:val="center"/>
          </w:tcPr>
          <w:p w14:paraId="3DAF5550"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Merge/>
            <w:vAlign w:val="center"/>
          </w:tcPr>
          <w:p w14:paraId="0A68BA27"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18" w:type="dxa"/>
            <w:vAlign w:val="center"/>
          </w:tcPr>
          <w:p w14:paraId="6EBA26B5"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lang w:val="en"/>
              </w:rPr>
              <w:t>Turquoise blue</w:t>
            </w:r>
          </w:p>
        </w:tc>
        <w:tc>
          <w:tcPr>
            <w:tcW w:w="1941" w:type="dxa"/>
            <w:vAlign w:val="center"/>
          </w:tcPr>
          <w:p w14:paraId="766BE4F6"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w:t>
            </w:r>
          </w:p>
        </w:tc>
      </w:tr>
      <w:tr w:rsidR="009F5BD0" w:rsidRPr="00AE5FE8" w14:paraId="1921ABAF" w14:textId="77777777" w:rsidTr="005231C8">
        <w:tc>
          <w:tcPr>
            <w:cnfStyle w:val="001000000000" w:firstRow="0" w:lastRow="0" w:firstColumn="1" w:lastColumn="0" w:oddVBand="0" w:evenVBand="0" w:oddHBand="0" w:evenHBand="0" w:firstRowFirstColumn="0" w:firstRowLastColumn="0" w:lastRowFirstColumn="0" w:lastRowLastColumn="0"/>
            <w:tcW w:w="1377" w:type="dxa"/>
            <w:vMerge w:val="restart"/>
            <w:vAlign w:val="center"/>
          </w:tcPr>
          <w:p w14:paraId="210C804E" w14:textId="77777777" w:rsidR="009F5BD0" w:rsidRPr="00AE5FE8" w:rsidRDefault="009F5BD0" w:rsidP="005231C8">
            <w:pPr>
              <w:spacing w:line="360" w:lineRule="auto"/>
              <w:jc w:val="center"/>
              <w:rPr>
                <w:b w:val="0"/>
                <w:bCs w:val="0"/>
                <w:sz w:val="24"/>
                <w:szCs w:val="24"/>
              </w:rPr>
            </w:pPr>
            <w:r w:rsidRPr="00AE5FE8">
              <w:rPr>
                <w:b w:val="0"/>
                <w:bCs w:val="0"/>
                <w:sz w:val="24"/>
                <w:szCs w:val="24"/>
              </w:rPr>
              <w:t>Purple</w:t>
            </w:r>
          </w:p>
        </w:tc>
        <w:tc>
          <w:tcPr>
            <w:tcW w:w="543" w:type="dxa"/>
            <w:vMerge w:val="restart"/>
            <w:shd w:val="clear" w:color="auto" w:fill="800080"/>
            <w:vAlign w:val="center"/>
          </w:tcPr>
          <w:p w14:paraId="77A2FAD0"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Merge w:val="restart"/>
            <w:vAlign w:val="center"/>
          </w:tcPr>
          <w:p w14:paraId="427CEC88"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#800080</w:t>
            </w:r>
          </w:p>
        </w:tc>
        <w:tc>
          <w:tcPr>
            <w:tcW w:w="1818" w:type="dxa"/>
            <w:vAlign w:val="center"/>
          </w:tcPr>
          <w:p w14:paraId="4D8AF7B2"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Purple</w:t>
            </w:r>
          </w:p>
        </w:tc>
        <w:tc>
          <w:tcPr>
            <w:tcW w:w="1941" w:type="dxa"/>
            <w:vAlign w:val="center"/>
          </w:tcPr>
          <w:p w14:paraId="674D3CC8"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w:t>
            </w:r>
          </w:p>
        </w:tc>
      </w:tr>
      <w:tr w:rsidR="009F5BD0" w:rsidRPr="00AE5FE8" w14:paraId="1B24ADB5" w14:textId="77777777" w:rsidTr="005231C8">
        <w:tc>
          <w:tcPr>
            <w:cnfStyle w:val="001000000000" w:firstRow="0" w:lastRow="0" w:firstColumn="1" w:lastColumn="0" w:oddVBand="0" w:evenVBand="0" w:oddHBand="0" w:evenHBand="0" w:firstRowFirstColumn="0" w:firstRowLastColumn="0" w:lastRowFirstColumn="0" w:lastRowLastColumn="0"/>
            <w:tcW w:w="1377" w:type="dxa"/>
            <w:vMerge/>
            <w:vAlign w:val="center"/>
          </w:tcPr>
          <w:p w14:paraId="3BC4290C" w14:textId="77777777" w:rsidR="009F5BD0" w:rsidRPr="00AE5FE8" w:rsidRDefault="009F5BD0" w:rsidP="005231C8">
            <w:pPr>
              <w:spacing w:line="360" w:lineRule="auto"/>
              <w:jc w:val="center"/>
              <w:rPr>
                <w:b w:val="0"/>
                <w:bCs w:val="0"/>
                <w:sz w:val="24"/>
                <w:szCs w:val="24"/>
              </w:rPr>
            </w:pPr>
          </w:p>
        </w:tc>
        <w:tc>
          <w:tcPr>
            <w:tcW w:w="543" w:type="dxa"/>
            <w:vMerge/>
            <w:shd w:val="clear" w:color="auto" w:fill="800080"/>
            <w:vAlign w:val="center"/>
          </w:tcPr>
          <w:p w14:paraId="6F678E58"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Merge/>
            <w:vAlign w:val="center"/>
          </w:tcPr>
          <w:p w14:paraId="72CCAFC4"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18" w:type="dxa"/>
            <w:vAlign w:val="center"/>
          </w:tcPr>
          <w:p w14:paraId="317FDE53"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Maple’’Bordo</w:t>
            </w:r>
          </w:p>
        </w:tc>
        <w:tc>
          <w:tcPr>
            <w:tcW w:w="1941" w:type="dxa"/>
            <w:vAlign w:val="center"/>
          </w:tcPr>
          <w:p w14:paraId="1180F431"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50</w:t>
            </w:r>
          </w:p>
        </w:tc>
      </w:tr>
      <w:tr w:rsidR="009F5BD0" w:rsidRPr="00AE5FE8" w14:paraId="2C0112F0" w14:textId="77777777" w:rsidTr="005231C8">
        <w:trPr>
          <w:trHeight w:val="283"/>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6928AB2E" w14:textId="77777777" w:rsidR="009F5BD0" w:rsidRPr="00AE5FE8" w:rsidRDefault="009F5BD0" w:rsidP="005231C8">
            <w:pPr>
              <w:spacing w:line="360" w:lineRule="auto"/>
              <w:jc w:val="center"/>
              <w:rPr>
                <w:b w:val="0"/>
                <w:bCs w:val="0"/>
                <w:sz w:val="24"/>
                <w:szCs w:val="24"/>
              </w:rPr>
            </w:pPr>
            <w:r w:rsidRPr="00AE5FE8">
              <w:rPr>
                <w:b w:val="0"/>
                <w:bCs w:val="0"/>
                <w:sz w:val="24"/>
                <w:szCs w:val="24"/>
              </w:rPr>
              <w:t>Pink</w:t>
            </w:r>
          </w:p>
        </w:tc>
        <w:tc>
          <w:tcPr>
            <w:tcW w:w="543" w:type="dxa"/>
            <w:shd w:val="clear" w:color="auto" w:fill="FF99CC"/>
            <w:vAlign w:val="center"/>
          </w:tcPr>
          <w:p w14:paraId="583BE6EA"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977" w:type="dxa"/>
            <w:vAlign w:val="center"/>
          </w:tcPr>
          <w:p w14:paraId="0D168BBB"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#FF99CC</w:t>
            </w:r>
          </w:p>
        </w:tc>
        <w:tc>
          <w:tcPr>
            <w:tcW w:w="1818" w:type="dxa"/>
            <w:vAlign w:val="center"/>
          </w:tcPr>
          <w:p w14:paraId="34FB4DEA"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Pink</w:t>
            </w:r>
          </w:p>
        </w:tc>
        <w:tc>
          <w:tcPr>
            <w:tcW w:w="1941" w:type="dxa"/>
            <w:vAlign w:val="center"/>
          </w:tcPr>
          <w:p w14:paraId="27E8E0B4" w14:textId="77777777" w:rsidR="009F5BD0" w:rsidRPr="00AE5FE8" w:rsidRDefault="009F5BD0" w:rsidP="005231C8">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E5FE8">
              <w:rPr>
                <w:sz w:val="24"/>
                <w:szCs w:val="24"/>
              </w:rPr>
              <w:t>20</w:t>
            </w:r>
          </w:p>
        </w:tc>
      </w:tr>
    </w:tbl>
    <w:p w14:paraId="404047D8" w14:textId="77777777" w:rsidR="009F5BD0" w:rsidRDefault="009F5BD0" w:rsidP="009F5BD0">
      <w:pPr>
        <w:rPr>
          <w:color w:val="000000" w:themeColor="text1"/>
          <w:shd w:val="clear" w:color="auto" w:fill="FFFFFF"/>
          <w:lang w:val="en-GB"/>
        </w:rPr>
      </w:pPr>
      <w:r>
        <w:rPr>
          <w:color w:val="000000" w:themeColor="text1"/>
          <w:shd w:val="clear" w:color="auto" w:fill="FFFFFF"/>
          <w:lang w:val="en-GB"/>
        </w:rPr>
        <w:br w:type="page"/>
      </w:r>
    </w:p>
    <w:p w14:paraId="7D110E52" w14:textId="77777777" w:rsidR="009F5BD0" w:rsidRPr="00C045FA" w:rsidRDefault="009F5BD0" w:rsidP="009F5BD0">
      <w:pPr>
        <w:pStyle w:val="NormalWeb"/>
        <w:spacing w:line="360" w:lineRule="auto"/>
        <w:jc w:val="both"/>
        <w:rPr>
          <w:lang w:val="en-US"/>
        </w:rPr>
      </w:pPr>
      <w:r w:rsidRPr="00C045FA">
        <w:rPr>
          <w:b/>
          <w:bCs/>
          <w:lang w:val="en-GB"/>
        </w:rPr>
        <w:lastRenderedPageBreak/>
        <w:t>Supplementary Table 2.</w:t>
      </w:r>
      <w:r w:rsidRPr="00C045FA">
        <w:rPr>
          <w:lang w:val="en-GB"/>
        </w:rPr>
        <w:t xml:space="preserve">  </w:t>
      </w:r>
      <w:r>
        <w:rPr>
          <w:lang w:val="en-GB"/>
        </w:rPr>
        <w:t xml:space="preserve">Dietary </w:t>
      </w:r>
      <w:r w:rsidRPr="00C045FA">
        <w:rPr>
          <w:lang w:val="en-US"/>
        </w:rPr>
        <w:t xml:space="preserve">intake </w:t>
      </w:r>
      <w:r>
        <w:rPr>
          <w:lang w:val="en-US"/>
        </w:rPr>
        <w:t xml:space="preserve">in the 24 h prior to each </w:t>
      </w:r>
      <w:r w:rsidRPr="00C045FA">
        <w:rPr>
          <w:lang w:val="en-US"/>
        </w:rPr>
        <w:t>condition</w:t>
      </w:r>
      <w:r>
        <w:rPr>
          <w:lang w:val="en-US"/>
        </w:rPr>
        <w:t xml:space="preserve"> in Experiment 3</w:t>
      </w:r>
      <w:r w:rsidRPr="00C045FA">
        <w:rPr>
          <w:lang w:val="en-US"/>
        </w:rPr>
        <w:t xml:space="preserve">. </w:t>
      </w:r>
    </w:p>
    <w:tbl>
      <w:tblPr>
        <w:tblStyle w:val="TableGrid"/>
        <w:tblW w:w="920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1484"/>
        <w:gridCol w:w="1476"/>
        <w:gridCol w:w="1338"/>
        <w:gridCol w:w="1428"/>
        <w:gridCol w:w="1095"/>
      </w:tblGrid>
      <w:tr w:rsidR="009F5BD0" w:rsidRPr="00B558FC" w14:paraId="0D41627E" w14:textId="77777777" w:rsidTr="005231C8">
        <w:trPr>
          <w:jc w:val="center"/>
        </w:trPr>
        <w:tc>
          <w:tcPr>
            <w:tcW w:w="2383" w:type="dxa"/>
          </w:tcPr>
          <w:p w14:paraId="125F4C5D" w14:textId="77777777" w:rsidR="009F5BD0" w:rsidRPr="00B558FC" w:rsidRDefault="009F5BD0" w:rsidP="005231C8">
            <w:pPr>
              <w:pStyle w:val="NormalWeb"/>
              <w:spacing w:before="0" w:beforeAutospacing="0" w:after="0" w:afterAutospacing="0" w:line="360" w:lineRule="auto"/>
              <w:jc w:val="both"/>
              <w:rPr>
                <w:lang w:val="en-GB"/>
              </w:rPr>
            </w:pPr>
          </w:p>
        </w:tc>
        <w:tc>
          <w:tcPr>
            <w:tcW w:w="1484" w:type="dxa"/>
            <w:tcBorders>
              <w:top w:val="single" w:sz="4" w:space="0" w:color="auto"/>
              <w:bottom w:val="single" w:sz="4" w:space="0" w:color="auto"/>
            </w:tcBorders>
          </w:tcPr>
          <w:p w14:paraId="6D0146E7" w14:textId="77777777" w:rsidR="009F5BD0" w:rsidRPr="00C045FA" w:rsidRDefault="009F5BD0" w:rsidP="005231C8">
            <w:pPr>
              <w:pStyle w:val="NormalWeb"/>
              <w:spacing w:before="0" w:beforeAutospacing="0" w:after="0" w:afterAutospacing="0" w:line="360" w:lineRule="auto"/>
              <w:jc w:val="center"/>
              <w:rPr>
                <w:b/>
                <w:bCs/>
                <w:lang w:val="en-US"/>
              </w:rPr>
            </w:pPr>
            <w:r w:rsidRPr="00C045FA">
              <w:rPr>
                <w:b/>
                <w:bCs/>
                <w:lang w:val="en-GB"/>
              </w:rPr>
              <w:t>Control</w:t>
            </w:r>
          </w:p>
        </w:tc>
        <w:tc>
          <w:tcPr>
            <w:tcW w:w="1476" w:type="dxa"/>
            <w:tcBorders>
              <w:top w:val="single" w:sz="4" w:space="0" w:color="auto"/>
              <w:bottom w:val="single" w:sz="4" w:space="0" w:color="auto"/>
            </w:tcBorders>
          </w:tcPr>
          <w:p w14:paraId="6509F1D2" w14:textId="77777777" w:rsidR="009F5BD0" w:rsidRPr="00C045FA" w:rsidRDefault="009F5BD0" w:rsidP="005231C8">
            <w:pPr>
              <w:pStyle w:val="NormalWeb"/>
              <w:spacing w:before="0" w:beforeAutospacing="0" w:after="0" w:afterAutospacing="0" w:line="360" w:lineRule="auto"/>
              <w:jc w:val="center"/>
              <w:rPr>
                <w:b/>
                <w:bCs/>
                <w:lang w:val="en-US"/>
              </w:rPr>
            </w:pPr>
            <w:r w:rsidRPr="00C045FA">
              <w:rPr>
                <w:b/>
                <w:bCs/>
                <w:lang w:val="en-US"/>
              </w:rPr>
              <w:t>Colourless</w:t>
            </w:r>
          </w:p>
        </w:tc>
        <w:tc>
          <w:tcPr>
            <w:tcW w:w="1338" w:type="dxa"/>
            <w:tcBorders>
              <w:top w:val="single" w:sz="4" w:space="0" w:color="auto"/>
              <w:bottom w:val="single" w:sz="4" w:space="0" w:color="auto"/>
            </w:tcBorders>
          </w:tcPr>
          <w:p w14:paraId="498EE054" w14:textId="77777777" w:rsidR="009F5BD0" w:rsidRPr="00C045FA" w:rsidRDefault="009F5BD0" w:rsidP="005231C8">
            <w:pPr>
              <w:pStyle w:val="NormalWeb"/>
              <w:spacing w:before="0" w:beforeAutospacing="0" w:after="0" w:afterAutospacing="0" w:line="360" w:lineRule="auto"/>
              <w:jc w:val="center"/>
              <w:rPr>
                <w:b/>
                <w:bCs/>
                <w:lang w:val="en-US"/>
              </w:rPr>
            </w:pPr>
            <w:r w:rsidRPr="00C045FA">
              <w:rPr>
                <w:b/>
                <w:bCs/>
                <w:lang w:val="en-US"/>
              </w:rPr>
              <w:t>CS</w:t>
            </w:r>
          </w:p>
        </w:tc>
        <w:tc>
          <w:tcPr>
            <w:tcW w:w="1428" w:type="dxa"/>
            <w:tcBorders>
              <w:top w:val="single" w:sz="4" w:space="0" w:color="auto"/>
              <w:bottom w:val="single" w:sz="4" w:space="0" w:color="auto"/>
            </w:tcBorders>
          </w:tcPr>
          <w:p w14:paraId="0940C498" w14:textId="77777777" w:rsidR="009F5BD0" w:rsidRPr="00C045FA" w:rsidRDefault="009F5BD0" w:rsidP="005231C8">
            <w:pPr>
              <w:pStyle w:val="NormalWeb"/>
              <w:spacing w:before="0" w:beforeAutospacing="0" w:after="0" w:afterAutospacing="0" w:line="360" w:lineRule="auto"/>
              <w:jc w:val="center"/>
              <w:rPr>
                <w:b/>
                <w:bCs/>
                <w:lang w:val="en-GB"/>
              </w:rPr>
            </w:pPr>
            <w:r w:rsidRPr="00C045FA">
              <w:rPr>
                <w:b/>
                <w:bCs/>
                <w:lang w:val="en-US"/>
              </w:rPr>
              <w:t>IS</w:t>
            </w:r>
          </w:p>
        </w:tc>
        <w:tc>
          <w:tcPr>
            <w:tcW w:w="1095" w:type="dxa"/>
            <w:tcBorders>
              <w:top w:val="single" w:sz="4" w:space="0" w:color="auto"/>
              <w:bottom w:val="single" w:sz="4" w:space="0" w:color="auto"/>
            </w:tcBorders>
          </w:tcPr>
          <w:p w14:paraId="14C2B90A" w14:textId="77777777" w:rsidR="009F5BD0" w:rsidRPr="00B558FC" w:rsidRDefault="009F5BD0" w:rsidP="005231C8">
            <w:pPr>
              <w:pStyle w:val="NormalWeb"/>
              <w:spacing w:before="0" w:beforeAutospacing="0" w:after="0" w:afterAutospacing="0" w:line="360" w:lineRule="auto"/>
              <w:jc w:val="center"/>
            </w:pPr>
            <w:r w:rsidRPr="00B558FC">
              <w:rPr>
                <w:b/>
                <w:bCs/>
              </w:rPr>
              <w:t xml:space="preserve">p-value </w:t>
            </w:r>
          </w:p>
        </w:tc>
      </w:tr>
      <w:tr w:rsidR="009F5BD0" w:rsidRPr="00B558FC" w14:paraId="2F2302AD" w14:textId="77777777" w:rsidTr="005231C8">
        <w:trPr>
          <w:jc w:val="center"/>
        </w:trPr>
        <w:tc>
          <w:tcPr>
            <w:tcW w:w="2383" w:type="dxa"/>
          </w:tcPr>
          <w:p w14:paraId="206C358C"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GB"/>
              </w:rPr>
              <w:t>Calories (kcal)</w:t>
            </w:r>
          </w:p>
        </w:tc>
        <w:tc>
          <w:tcPr>
            <w:tcW w:w="1484" w:type="dxa"/>
            <w:tcBorders>
              <w:top w:val="single" w:sz="4" w:space="0" w:color="auto"/>
            </w:tcBorders>
          </w:tcPr>
          <w:p w14:paraId="724EF10E"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2283 </w:t>
            </w:r>
            <w:r w:rsidRPr="00B558FC">
              <w:rPr>
                <w:lang w:val="en-GB"/>
              </w:rPr>
              <w:t xml:space="preserve">± </w:t>
            </w:r>
            <w:r w:rsidRPr="00B558FC">
              <w:t xml:space="preserve">1014 </w:t>
            </w:r>
          </w:p>
        </w:tc>
        <w:tc>
          <w:tcPr>
            <w:tcW w:w="1476" w:type="dxa"/>
            <w:tcBorders>
              <w:top w:val="single" w:sz="4" w:space="0" w:color="auto"/>
            </w:tcBorders>
          </w:tcPr>
          <w:p w14:paraId="5982A4F0"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2249 </w:t>
            </w:r>
            <w:r w:rsidRPr="00B558FC">
              <w:rPr>
                <w:lang w:val="en-GB"/>
              </w:rPr>
              <w:t>± 795</w:t>
            </w:r>
          </w:p>
        </w:tc>
        <w:tc>
          <w:tcPr>
            <w:tcW w:w="1338" w:type="dxa"/>
            <w:tcBorders>
              <w:top w:val="single" w:sz="4" w:space="0" w:color="auto"/>
            </w:tcBorders>
          </w:tcPr>
          <w:p w14:paraId="03FE78F6"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US"/>
              </w:rPr>
              <w:t xml:space="preserve">2416 </w:t>
            </w:r>
            <w:r w:rsidRPr="00B558FC">
              <w:rPr>
                <w:lang w:val="en-GB"/>
              </w:rPr>
              <w:t xml:space="preserve">± </w:t>
            </w:r>
            <w:r w:rsidRPr="00B558FC">
              <w:t xml:space="preserve">765 </w:t>
            </w:r>
          </w:p>
        </w:tc>
        <w:tc>
          <w:tcPr>
            <w:tcW w:w="1428" w:type="dxa"/>
            <w:tcBorders>
              <w:top w:val="single" w:sz="4" w:space="0" w:color="auto"/>
            </w:tcBorders>
          </w:tcPr>
          <w:p w14:paraId="54732CD0"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2317 </w:t>
            </w:r>
            <w:r w:rsidRPr="00B558FC">
              <w:rPr>
                <w:lang w:val="en-GB"/>
              </w:rPr>
              <w:t xml:space="preserve">± </w:t>
            </w:r>
            <w:r w:rsidRPr="00B558FC">
              <w:t xml:space="preserve">810 </w:t>
            </w:r>
          </w:p>
        </w:tc>
        <w:tc>
          <w:tcPr>
            <w:tcW w:w="1095" w:type="dxa"/>
            <w:tcBorders>
              <w:top w:val="single" w:sz="4" w:space="0" w:color="auto"/>
            </w:tcBorders>
          </w:tcPr>
          <w:p w14:paraId="618B1149" w14:textId="77777777" w:rsidR="009F5BD0" w:rsidRPr="00B558FC" w:rsidRDefault="009F5BD0" w:rsidP="005231C8">
            <w:pPr>
              <w:pStyle w:val="NormalWeb"/>
              <w:spacing w:before="0" w:beforeAutospacing="0" w:after="0" w:afterAutospacing="0" w:line="360" w:lineRule="auto"/>
              <w:jc w:val="center"/>
            </w:pPr>
            <w:r w:rsidRPr="00B558FC">
              <w:t xml:space="preserve">0.9 </w:t>
            </w:r>
          </w:p>
        </w:tc>
      </w:tr>
      <w:tr w:rsidR="009F5BD0" w:rsidRPr="00B558FC" w14:paraId="3262DB58" w14:textId="77777777" w:rsidTr="005231C8">
        <w:trPr>
          <w:jc w:val="center"/>
        </w:trPr>
        <w:tc>
          <w:tcPr>
            <w:tcW w:w="2383" w:type="dxa"/>
          </w:tcPr>
          <w:p w14:paraId="6D2A6290"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GB"/>
              </w:rPr>
              <w:t>Carbohydrates</w:t>
            </w:r>
            <w:r>
              <w:rPr>
                <w:lang w:val="en-GB"/>
              </w:rPr>
              <w:t xml:space="preserve"> </w:t>
            </w:r>
            <w:r w:rsidRPr="00B558FC">
              <w:rPr>
                <w:lang w:val="en-GB"/>
              </w:rPr>
              <w:t>(g/kg)</w:t>
            </w:r>
          </w:p>
        </w:tc>
        <w:tc>
          <w:tcPr>
            <w:tcW w:w="1484" w:type="dxa"/>
          </w:tcPr>
          <w:p w14:paraId="0E14259A"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3.62 </w:t>
            </w:r>
            <w:r w:rsidRPr="00B558FC">
              <w:rPr>
                <w:lang w:val="en-GB"/>
              </w:rPr>
              <w:t xml:space="preserve">± </w:t>
            </w:r>
            <w:r w:rsidRPr="00B558FC">
              <w:t xml:space="preserve">2.04 </w:t>
            </w:r>
          </w:p>
        </w:tc>
        <w:tc>
          <w:tcPr>
            <w:tcW w:w="1476" w:type="dxa"/>
          </w:tcPr>
          <w:p w14:paraId="35F33F04"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3.69 </w:t>
            </w:r>
            <w:r w:rsidRPr="00B558FC">
              <w:rPr>
                <w:lang w:val="en-GB"/>
              </w:rPr>
              <w:t xml:space="preserve">± </w:t>
            </w:r>
            <w:r w:rsidRPr="00B558FC">
              <w:t xml:space="preserve">1.45 </w:t>
            </w:r>
          </w:p>
        </w:tc>
        <w:tc>
          <w:tcPr>
            <w:tcW w:w="1338" w:type="dxa"/>
          </w:tcPr>
          <w:p w14:paraId="4FC54D86"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4.0 </w:t>
            </w:r>
            <w:r w:rsidRPr="00B558FC">
              <w:rPr>
                <w:lang w:val="en-GB"/>
              </w:rPr>
              <w:t xml:space="preserve">± </w:t>
            </w:r>
            <w:r w:rsidRPr="00B558FC">
              <w:t xml:space="preserve">1.53 </w:t>
            </w:r>
          </w:p>
        </w:tc>
        <w:tc>
          <w:tcPr>
            <w:tcW w:w="1428" w:type="dxa"/>
          </w:tcPr>
          <w:p w14:paraId="5F3BFC0C"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3.82 </w:t>
            </w:r>
            <w:r w:rsidRPr="00B558FC">
              <w:rPr>
                <w:lang w:val="en-GB"/>
              </w:rPr>
              <w:t xml:space="preserve">± </w:t>
            </w:r>
            <w:r w:rsidRPr="00B558FC">
              <w:t>1.58</w:t>
            </w:r>
          </w:p>
        </w:tc>
        <w:tc>
          <w:tcPr>
            <w:tcW w:w="1095" w:type="dxa"/>
          </w:tcPr>
          <w:p w14:paraId="1B41478E" w14:textId="77777777" w:rsidR="009F5BD0" w:rsidRPr="00B558FC" w:rsidRDefault="009F5BD0" w:rsidP="005231C8">
            <w:pPr>
              <w:pStyle w:val="NormalWeb"/>
              <w:spacing w:before="0" w:beforeAutospacing="0" w:after="0" w:afterAutospacing="0" w:line="360" w:lineRule="auto"/>
              <w:jc w:val="center"/>
            </w:pPr>
            <w:r w:rsidRPr="00B558FC">
              <w:t xml:space="preserve">0.6 </w:t>
            </w:r>
          </w:p>
        </w:tc>
      </w:tr>
      <w:tr w:rsidR="009F5BD0" w:rsidRPr="00B558FC" w14:paraId="548D32E1" w14:textId="77777777" w:rsidTr="005231C8">
        <w:trPr>
          <w:jc w:val="center"/>
        </w:trPr>
        <w:tc>
          <w:tcPr>
            <w:tcW w:w="2383" w:type="dxa"/>
          </w:tcPr>
          <w:p w14:paraId="158580C2"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GB"/>
              </w:rPr>
              <w:t>Protein (g/kg)</w:t>
            </w:r>
          </w:p>
        </w:tc>
        <w:tc>
          <w:tcPr>
            <w:tcW w:w="1484" w:type="dxa"/>
          </w:tcPr>
          <w:p w14:paraId="3DA95863"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1.67 </w:t>
            </w:r>
            <w:r w:rsidRPr="00B558FC">
              <w:rPr>
                <w:lang w:val="en-GB"/>
              </w:rPr>
              <w:t xml:space="preserve">± </w:t>
            </w:r>
            <w:r w:rsidRPr="00B558FC">
              <w:t xml:space="preserve">0.83 </w:t>
            </w:r>
          </w:p>
        </w:tc>
        <w:tc>
          <w:tcPr>
            <w:tcW w:w="1476" w:type="dxa"/>
          </w:tcPr>
          <w:p w14:paraId="24B09380"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1.52 </w:t>
            </w:r>
            <w:r w:rsidRPr="00B558FC">
              <w:rPr>
                <w:lang w:val="en-GB"/>
              </w:rPr>
              <w:t xml:space="preserve">± </w:t>
            </w:r>
            <w:r w:rsidRPr="00B558FC">
              <w:t>0.71</w:t>
            </w:r>
          </w:p>
        </w:tc>
        <w:tc>
          <w:tcPr>
            <w:tcW w:w="1338" w:type="dxa"/>
          </w:tcPr>
          <w:p w14:paraId="25175E8F"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1.78 </w:t>
            </w:r>
            <w:r w:rsidRPr="00B558FC">
              <w:rPr>
                <w:lang w:val="en-GB"/>
              </w:rPr>
              <w:t xml:space="preserve">± </w:t>
            </w:r>
            <w:r w:rsidRPr="00B558FC">
              <w:t xml:space="preserve">0.89 </w:t>
            </w:r>
          </w:p>
        </w:tc>
        <w:tc>
          <w:tcPr>
            <w:tcW w:w="1428" w:type="dxa"/>
          </w:tcPr>
          <w:p w14:paraId="0C934B40"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1.44 </w:t>
            </w:r>
            <w:r w:rsidRPr="00B558FC">
              <w:rPr>
                <w:lang w:val="en-GB"/>
              </w:rPr>
              <w:t xml:space="preserve">± </w:t>
            </w:r>
            <w:r w:rsidRPr="00B558FC">
              <w:t xml:space="preserve">0.59 </w:t>
            </w:r>
          </w:p>
        </w:tc>
        <w:tc>
          <w:tcPr>
            <w:tcW w:w="1095" w:type="dxa"/>
          </w:tcPr>
          <w:p w14:paraId="09BA8BAD" w14:textId="77777777" w:rsidR="009F5BD0" w:rsidRPr="00B558FC" w:rsidRDefault="009F5BD0" w:rsidP="005231C8">
            <w:pPr>
              <w:pStyle w:val="NormalWeb"/>
              <w:spacing w:before="0" w:beforeAutospacing="0" w:after="0" w:afterAutospacing="0" w:line="360" w:lineRule="auto"/>
              <w:jc w:val="center"/>
              <w:rPr>
                <w:lang w:val="en-US"/>
              </w:rPr>
            </w:pPr>
            <w:r w:rsidRPr="00B558FC">
              <w:t>0.6</w:t>
            </w:r>
          </w:p>
        </w:tc>
      </w:tr>
      <w:tr w:rsidR="009F5BD0" w:rsidRPr="00B558FC" w14:paraId="51A9A94B" w14:textId="77777777" w:rsidTr="005231C8">
        <w:trPr>
          <w:jc w:val="center"/>
        </w:trPr>
        <w:tc>
          <w:tcPr>
            <w:tcW w:w="2383" w:type="dxa"/>
          </w:tcPr>
          <w:p w14:paraId="47E5C312"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GB"/>
              </w:rPr>
              <w:t>Lipids (g/kg)</w:t>
            </w:r>
          </w:p>
        </w:tc>
        <w:tc>
          <w:tcPr>
            <w:tcW w:w="1484" w:type="dxa"/>
          </w:tcPr>
          <w:p w14:paraId="54796181"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1.12 </w:t>
            </w:r>
            <w:r w:rsidRPr="00B558FC">
              <w:rPr>
                <w:lang w:val="en-GB"/>
              </w:rPr>
              <w:t xml:space="preserve">± </w:t>
            </w:r>
            <w:r w:rsidRPr="00B558FC">
              <w:t>0.59</w:t>
            </w:r>
          </w:p>
        </w:tc>
        <w:tc>
          <w:tcPr>
            <w:tcW w:w="1476" w:type="dxa"/>
          </w:tcPr>
          <w:p w14:paraId="4F9E7525"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1.13 </w:t>
            </w:r>
            <w:r w:rsidRPr="00B558FC">
              <w:rPr>
                <w:lang w:val="en-GB"/>
              </w:rPr>
              <w:t xml:space="preserve">± </w:t>
            </w:r>
            <w:r w:rsidRPr="00B558FC">
              <w:t xml:space="preserve">0.48 </w:t>
            </w:r>
          </w:p>
        </w:tc>
        <w:tc>
          <w:tcPr>
            <w:tcW w:w="1338" w:type="dxa"/>
          </w:tcPr>
          <w:p w14:paraId="0D00D9C5"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1.13 </w:t>
            </w:r>
            <w:r w:rsidRPr="00B558FC">
              <w:rPr>
                <w:lang w:val="en-GB"/>
              </w:rPr>
              <w:t xml:space="preserve">± </w:t>
            </w:r>
            <w:r w:rsidRPr="00B558FC">
              <w:t xml:space="preserve">0.38 </w:t>
            </w:r>
          </w:p>
        </w:tc>
        <w:tc>
          <w:tcPr>
            <w:tcW w:w="1428" w:type="dxa"/>
          </w:tcPr>
          <w:p w14:paraId="74AF1F6C" w14:textId="77777777" w:rsidR="009F5BD0" w:rsidRPr="00B558FC" w:rsidRDefault="009F5BD0" w:rsidP="005231C8">
            <w:pPr>
              <w:pStyle w:val="NormalWeb"/>
              <w:spacing w:before="0" w:beforeAutospacing="0" w:after="0" w:afterAutospacing="0" w:line="360" w:lineRule="auto"/>
              <w:jc w:val="center"/>
            </w:pPr>
            <w:r w:rsidRPr="00B558FC">
              <w:rPr>
                <w:lang w:val="en-US"/>
              </w:rPr>
              <w:t xml:space="preserve">1.16 </w:t>
            </w:r>
            <w:r w:rsidRPr="00B558FC">
              <w:rPr>
                <w:lang w:val="en-GB"/>
              </w:rPr>
              <w:t xml:space="preserve">± </w:t>
            </w:r>
            <w:r w:rsidRPr="00B558FC">
              <w:t>0.44</w:t>
            </w:r>
          </w:p>
        </w:tc>
        <w:tc>
          <w:tcPr>
            <w:tcW w:w="1095" w:type="dxa"/>
          </w:tcPr>
          <w:p w14:paraId="7D556FA9" w14:textId="77777777" w:rsidR="009F5BD0" w:rsidRPr="00B558FC" w:rsidRDefault="009F5BD0" w:rsidP="005231C8">
            <w:pPr>
              <w:pStyle w:val="NormalWeb"/>
              <w:spacing w:before="0" w:beforeAutospacing="0" w:after="0" w:afterAutospacing="0" w:line="360" w:lineRule="auto"/>
              <w:jc w:val="center"/>
            </w:pPr>
            <w:r w:rsidRPr="00B558FC">
              <w:t xml:space="preserve">&gt;0.9 </w:t>
            </w:r>
          </w:p>
        </w:tc>
      </w:tr>
      <w:tr w:rsidR="009F5BD0" w:rsidRPr="00B558FC" w14:paraId="4EA0DF06" w14:textId="77777777" w:rsidTr="005231C8">
        <w:trPr>
          <w:jc w:val="center"/>
        </w:trPr>
        <w:tc>
          <w:tcPr>
            <w:tcW w:w="2383" w:type="dxa"/>
          </w:tcPr>
          <w:p w14:paraId="74D088AC"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GB"/>
              </w:rPr>
              <w:t>Fiber (g)</w:t>
            </w:r>
          </w:p>
        </w:tc>
        <w:tc>
          <w:tcPr>
            <w:tcW w:w="1484" w:type="dxa"/>
          </w:tcPr>
          <w:p w14:paraId="7F1813EF"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US"/>
              </w:rPr>
              <w:t xml:space="preserve">22 </w:t>
            </w:r>
            <w:r w:rsidRPr="00B558FC">
              <w:rPr>
                <w:lang w:val="en-GB"/>
              </w:rPr>
              <w:t>± 13</w:t>
            </w:r>
          </w:p>
        </w:tc>
        <w:tc>
          <w:tcPr>
            <w:tcW w:w="1476" w:type="dxa"/>
          </w:tcPr>
          <w:p w14:paraId="59C1B5ED"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US"/>
              </w:rPr>
              <w:t xml:space="preserve">20 </w:t>
            </w:r>
            <w:r w:rsidRPr="00B558FC">
              <w:rPr>
                <w:lang w:val="en-GB"/>
              </w:rPr>
              <w:t>± 10</w:t>
            </w:r>
          </w:p>
        </w:tc>
        <w:tc>
          <w:tcPr>
            <w:tcW w:w="1338" w:type="dxa"/>
          </w:tcPr>
          <w:p w14:paraId="776D39E8"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US"/>
              </w:rPr>
              <w:t xml:space="preserve">23 </w:t>
            </w:r>
            <w:r w:rsidRPr="00B558FC">
              <w:rPr>
                <w:lang w:val="en-GB"/>
              </w:rPr>
              <w:t>± 18</w:t>
            </w:r>
          </w:p>
        </w:tc>
        <w:tc>
          <w:tcPr>
            <w:tcW w:w="1428" w:type="dxa"/>
          </w:tcPr>
          <w:p w14:paraId="3453804E" w14:textId="77777777" w:rsidR="009F5BD0" w:rsidRPr="00B558FC" w:rsidRDefault="009F5BD0" w:rsidP="005231C8">
            <w:pPr>
              <w:pStyle w:val="NormalWeb"/>
              <w:spacing w:before="0" w:beforeAutospacing="0" w:after="0" w:afterAutospacing="0" w:line="360" w:lineRule="auto"/>
              <w:jc w:val="center"/>
              <w:rPr>
                <w:lang w:val="en-GB"/>
              </w:rPr>
            </w:pPr>
            <w:r w:rsidRPr="00B558FC">
              <w:rPr>
                <w:lang w:val="en-US"/>
              </w:rPr>
              <w:t xml:space="preserve">21 </w:t>
            </w:r>
            <w:r w:rsidRPr="00B558FC">
              <w:rPr>
                <w:lang w:val="en-GB"/>
              </w:rPr>
              <w:t>± 10</w:t>
            </w:r>
          </w:p>
        </w:tc>
        <w:tc>
          <w:tcPr>
            <w:tcW w:w="1095" w:type="dxa"/>
          </w:tcPr>
          <w:p w14:paraId="026DF01B" w14:textId="77777777" w:rsidR="009F5BD0" w:rsidRPr="00B558FC" w:rsidRDefault="009F5BD0" w:rsidP="005231C8">
            <w:pPr>
              <w:pStyle w:val="NormalWeb"/>
              <w:spacing w:before="0" w:beforeAutospacing="0" w:after="0" w:afterAutospacing="0" w:line="360" w:lineRule="auto"/>
              <w:jc w:val="center"/>
              <w:rPr>
                <w:lang w:val="en-US"/>
              </w:rPr>
            </w:pPr>
            <w:r w:rsidRPr="00B558FC">
              <w:t>&gt;0.9</w:t>
            </w:r>
          </w:p>
        </w:tc>
      </w:tr>
    </w:tbl>
    <w:p w14:paraId="0C98D143" w14:textId="77777777" w:rsidR="009F5BD0" w:rsidRPr="00F763C1" w:rsidRDefault="009F5BD0" w:rsidP="009F5BD0">
      <w:pPr>
        <w:rPr>
          <w:rStyle w:val="Strong"/>
          <w:b w:val="0"/>
          <w:bCs w:val="0"/>
          <w:lang w:val="en-GB"/>
        </w:rPr>
      </w:pPr>
      <w:r w:rsidRPr="00F763C1">
        <w:rPr>
          <w:rStyle w:val="Strong"/>
          <w:b w:val="0"/>
          <w:bCs w:val="0"/>
          <w:lang w:val="en-GB"/>
        </w:rPr>
        <w:t>CS = Congruent solution; IS = Incongruent solution.</w:t>
      </w:r>
      <w:r w:rsidRPr="00F763C1">
        <w:rPr>
          <w:rStyle w:val="Strong"/>
          <w:b w:val="0"/>
          <w:bCs w:val="0"/>
          <w:lang w:val="en-GB"/>
        </w:rPr>
        <w:br w:type="page"/>
      </w:r>
    </w:p>
    <w:p w14:paraId="5DA0A6EB" w14:textId="77777777" w:rsidR="009F5BD0" w:rsidRPr="00F763C1" w:rsidRDefault="009F5BD0" w:rsidP="009F5BD0">
      <w:pPr>
        <w:pStyle w:val="NormalWeb"/>
        <w:spacing w:before="0" w:beforeAutospacing="0" w:after="0" w:afterAutospacing="0" w:line="360" w:lineRule="auto"/>
        <w:jc w:val="both"/>
        <w:rPr>
          <w:rStyle w:val="Strong"/>
          <w:lang w:val="en-GB"/>
        </w:rPr>
      </w:pPr>
    </w:p>
    <w:p w14:paraId="77306C52" w14:textId="77777777" w:rsidR="009F5BD0" w:rsidRDefault="009F5BD0" w:rsidP="009F5BD0">
      <w:pPr>
        <w:pStyle w:val="NormalWeb"/>
        <w:spacing w:before="0" w:beforeAutospacing="0" w:after="0" w:afterAutospacing="0" w:line="360" w:lineRule="auto"/>
        <w:ind w:left="360"/>
        <w:jc w:val="both"/>
        <w:rPr>
          <w:rStyle w:val="Strong"/>
        </w:rPr>
      </w:pPr>
      <w:r>
        <w:rPr>
          <w:b/>
          <w:bCs/>
          <w:noProof/>
        </w:rPr>
        <w:drawing>
          <wp:inline distT="0" distB="0" distL="0" distR="0" wp14:anchorId="28F7CED4" wp14:editId="45C66711">
            <wp:extent cx="5396230" cy="2174875"/>
            <wp:effectExtent l="0" t="0" r="1270" b="0"/>
            <wp:docPr id="3746302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0276" name="Imagem 37463027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96230" cy="2174875"/>
                    </a:xfrm>
                    <a:prstGeom prst="rect">
                      <a:avLst/>
                    </a:prstGeom>
                  </pic:spPr>
                </pic:pic>
              </a:graphicData>
            </a:graphic>
          </wp:inline>
        </w:drawing>
      </w:r>
    </w:p>
    <w:p w14:paraId="17B875A9" w14:textId="77777777" w:rsidR="009F5BD0" w:rsidRPr="00221E10" w:rsidRDefault="009F5BD0" w:rsidP="009F5BD0">
      <w:pPr>
        <w:pStyle w:val="NormalWeb"/>
        <w:spacing w:before="0" w:beforeAutospacing="0" w:after="0" w:afterAutospacing="0" w:line="360" w:lineRule="auto"/>
        <w:ind w:left="360"/>
        <w:jc w:val="both"/>
        <w:rPr>
          <w:rStyle w:val="Strong"/>
          <w:lang w:val="en-GB"/>
        </w:rPr>
      </w:pPr>
      <w:r w:rsidRPr="00221E10">
        <w:rPr>
          <w:rStyle w:val="Strong"/>
          <w:lang w:val="en-GB"/>
        </w:rPr>
        <w:t>Supplementary Fig</w:t>
      </w:r>
      <w:r>
        <w:rPr>
          <w:rStyle w:val="Strong"/>
          <w:lang w:val="en-GB"/>
        </w:rPr>
        <w:t>.</w:t>
      </w:r>
      <w:r w:rsidRPr="00221E10">
        <w:rPr>
          <w:rStyle w:val="Strong"/>
          <w:lang w:val="en-GB"/>
        </w:rPr>
        <w:t xml:space="preserve"> 1. Experimental trigger setup for timing control during mouth-rinse administration.</w:t>
      </w:r>
    </w:p>
    <w:p w14:paraId="1A868F37" w14:textId="77777777" w:rsidR="009F5BD0" w:rsidRPr="00221E10" w:rsidRDefault="009F5BD0" w:rsidP="009F5BD0">
      <w:pPr>
        <w:pStyle w:val="NormalWeb"/>
        <w:spacing w:before="0" w:beforeAutospacing="0" w:after="0" w:afterAutospacing="0" w:line="360" w:lineRule="auto"/>
        <w:ind w:left="360"/>
        <w:jc w:val="both"/>
        <w:rPr>
          <w:lang w:val="en-GB"/>
        </w:rPr>
      </w:pPr>
      <w:r w:rsidRPr="00221E10">
        <w:rPr>
          <w:lang w:val="en-GB"/>
        </w:rPr>
        <w:t xml:space="preserve">Representative images illustrating the experimental trigger system used to precisely identify the timing of solution contact with the tongue and solution removal. </w:t>
      </w:r>
      <w:r w:rsidRPr="00B5097F">
        <w:rPr>
          <w:rStyle w:val="Emphasis"/>
          <w:b/>
          <w:bCs/>
          <w:i w:val="0"/>
          <w:iCs w:val="0"/>
          <w:lang w:val="en-GB"/>
        </w:rPr>
        <w:t>A)</w:t>
      </w:r>
      <w:r w:rsidRPr="00221E10">
        <w:rPr>
          <w:lang w:val="en-GB"/>
        </w:rPr>
        <w:t xml:space="preserve"> Frontal view showing the trigger sensor positioned on the mentalis muscle to detect facial muscle activation at mouth opening. </w:t>
      </w:r>
      <w:r w:rsidRPr="00B5097F">
        <w:rPr>
          <w:rStyle w:val="Emphasis"/>
          <w:b/>
          <w:bCs/>
          <w:i w:val="0"/>
          <w:iCs w:val="0"/>
          <w:lang w:val="en-GB"/>
        </w:rPr>
        <w:t>B)</w:t>
      </w:r>
      <w:r w:rsidRPr="00221E10">
        <w:rPr>
          <w:lang w:val="en-GB"/>
        </w:rPr>
        <w:t xml:space="preserve"> Lateral view depicting the participant bringing the cup to the mouth, with activation of the cup-mounted trigger sensor indicating solution delivery. </w:t>
      </w:r>
      <w:r w:rsidRPr="00B5097F">
        <w:rPr>
          <w:rStyle w:val="Emphasis"/>
          <w:b/>
          <w:bCs/>
          <w:i w:val="0"/>
          <w:iCs w:val="0"/>
          <w:lang w:val="en-GB"/>
        </w:rPr>
        <w:t>C)</w:t>
      </w:r>
      <w:r w:rsidRPr="00221E10">
        <w:rPr>
          <w:lang w:val="en-GB"/>
        </w:rPr>
        <w:t xml:space="preserve"> Posterior view highlighting the trigger sensor attached to the cup. This setup allowed for precise temporal synchronization of electrophysiological recordings with mouth-rinse events in the within-subject crossover design.</w:t>
      </w:r>
      <w:r>
        <w:rPr>
          <w:lang w:val="en-GB"/>
        </w:rPr>
        <w:t xml:space="preserve"> </w:t>
      </w:r>
      <w:r w:rsidRPr="00BF4796">
        <w:rPr>
          <w:lang w:val="en-GB"/>
        </w:rPr>
        <w:t xml:space="preserve">Created in  </w:t>
      </w:r>
      <w:hyperlink r:id="rId5" w:history="1">
        <w:r w:rsidRPr="005E1227">
          <w:rPr>
            <w:rStyle w:val="Hyperlink"/>
            <w:lang w:val="en-GB"/>
          </w:rPr>
          <w:t>https://BioRender.com</w:t>
        </w:r>
      </w:hyperlink>
      <w:r>
        <w:rPr>
          <w:lang w:val="en-GB"/>
        </w:rPr>
        <w:t xml:space="preserve"> </w:t>
      </w:r>
      <w:r w:rsidRPr="00BF4796">
        <w:rPr>
          <w:lang w:val="en-GB"/>
        </w:rPr>
        <w:t xml:space="preserve"> </w:t>
      </w:r>
      <w:r>
        <w:rPr>
          <w:lang w:val="en-GB"/>
        </w:rPr>
        <w:t xml:space="preserve"> </w:t>
      </w:r>
      <w:r>
        <w:rPr>
          <w:color w:val="000000" w:themeColor="text1"/>
          <w:shd w:val="clear" w:color="auto" w:fill="FFFFFF"/>
          <w:lang w:val="en-GB"/>
        </w:rPr>
        <w:br w:type="page"/>
      </w:r>
    </w:p>
    <w:p w14:paraId="3730FB03" w14:textId="77777777" w:rsidR="009F5BD0" w:rsidRDefault="009F5BD0" w:rsidP="009F5BD0">
      <w:pPr>
        <w:pStyle w:val="NormalWeb"/>
        <w:spacing w:before="0" w:beforeAutospacing="0" w:after="0" w:afterAutospacing="0" w:line="360" w:lineRule="auto"/>
        <w:jc w:val="both"/>
        <w:rPr>
          <w:color w:val="000000" w:themeColor="text1"/>
          <w:shd w:val="clear" w:color="auto" w:fill="FFFFFF"/>
          <w:lang w:val="en-GB"/>
        </w:rPr>
      </w:pPr>
      <w:r>
        <w:rPr>
          <w:noProof/>
          <w:color w:val="000000" w:themeColor="text1"/>
          <w:shd w:val="clear" w:color="auto" w:fill="FFFFFF"/>
          <w:lang w:val="en-GB"/>
        </w:rPr>
        <w:lastRenderedPageBreak/>
        <w:drawing>
          <wp:inline distT="0" distB="0" distL="0" distR="0" wp14:anchorId="676CDF06" wp14:editId="56B4DFF1">
            <wp:extent cx="5396230" cy="4602480"/>
            <wp:effectExtent l="0" t="0" r="0" b="7620"/>
            <wp:docPr id="1501493551"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93551" name="Gráfico 1501493551"/>
                    <pic:cNvPicPr/>
                  </pic:nvPicPr>
                  <pic:blipFill>
                    <a:blip r:embed="rId6">
                      <a:extLst>
                        <a:ext uri="{96DAC541-7B7A-43D3-8B79-37D633B846F1}">
                          <asvg:svgBlip xmlns:asvg="http://schemas.microsoft.com/office/drawing/2016/SVG/main" r:embed="rId7"/>
                        </a:ext>
                      </a:extLst>
                    </a:blip>
                    <a:stretch>
                      <a:fillRect/>
                    </a:stretch>
                  </pic:blipFill>
                  <pic:spPr>
                    <a:xfrm>
                      <a:off x="0" y="0"/>
                      <a:ext cx="5396230" cy="4602480"/>
                    </a:xfrm>
                    <a:prstGeom prst="rect">
                      <a:avLst/>
                    </a:prstGeom>
                  </pic:spPr>
                </pic:pic>
              </a:graphicData>
            </a:graphic>
          </wp:inline>
        </w:drawing>
      </w:r>
    </w:p>
    <w:p w14:paraId="0BC3F274" w14:textId="6D1A673F" w:rsidR="00EB4A2D" w:rsidRDefault="009F5BD0" w:rsidP="009F5BD0">
      <w:r w:rsidRPr="00221E10">
        <w:rPr>
          <w:rStyle w:val="Strong"/>
          <w:lang w:val="en-GB"/>
        </w:rPr>
        <w:t>Supplementary Fig</w:t>
      </w:r>
      <w:r>
        <w:rPr>
          <w:rStyle w:val="Strong"/>
          <w:lang w:val="en-GB"/>
        </w:rPr>
        <w:t>.</w:t>
      </w:r>
      <w:r w:rsidRPr="00221E10">
        <w:rPr>
          <w:rStyle w:val="Strong"/>
          <w:lang w:val="en-GB"/>
        </w:rPr>
        <w:t xml:space="preserve"> 2. </w:t>
      </w:r>
      <w:r w:rsidRPr="003749C5">
        <w:rPr>
          <w:lang w:val="en-GB"/>
        </w:rPr>
        <w:t xml:space="preserve">Schematic representation of EEG electrode placement according to the international 10–20 system. Prefrontal and frontal electrodes analysed in the present study (Fp1, Fp2, F3, F5, and F6) are highlighted in orange. Remaining electrodes represent the full 16-channel recording montage. </w:t>
      </w:r>
      <w:r w:rsidRPr="00BF4796">
        <w:rPr>
          <w:lang w:val="en-GB"/>
        </w:rPr>
        <w:t xml:space="preserve">Created in  </w:t>
      </w:r>
      <w:hyperlink r:id="rId8" w:history="1">
        <w:r w:rsidRPr="005E1227">
          <w:rPr>
            <w:rStyle w:val="Hyperlink"/>
            <w:lang w:val="en-GB"/>
          </w:rPr>
          <w:t>https://BioRender.com</w:t>
        </w:r>
      </w:hyperlink>
      <w:r>
        <w:rPr>
          <w:lang w:val="en-GB"/>
        </w:rPr>
        <w:t xml:space="preserve"> </w:t>
      </w:r>
      <w:r w:rsidRPr="00BF4796">
        <w:rPr>
          <w:lang w:val="en-GB"/>
        </w:rPr>
        <w:t xml:space="preserve"> </w:t>
      </w:r>
    </w:p>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D0"/>
    <w:rsid w:val="002C7D54"/>
    <w:rsid w:val="0033371E"/>
    <w:rsid w:val="005C0D39"/>
    <w:rsid w:val="0070406C"/>
    <w:rsid w:val="00724754"/>
    <w:rsid w:val="00776126"/>
    <w:rsid w:val="009F5BD0"/>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1EF6"/>
  <w15:chartTrackingRefBased/>
  <w15:docId w15:val="{C96F7003-CFD4-4FFC-A6BB-560A6E71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BD0"/>
    <w:pPr>
      <w:spacing w:after="0" w:line="240" w:lineRule="auto"/>
    </w:pPr>
    <w:rPr>
      <w:rFonts w:ascii="Times New Roman" w:eastAsia="Times New Roman" w:hAnsi="Times New Roman" w:cs="Times New Roman"/>
      <w:kern w:val="0"/>
      <w:lang w:val="pt-BR" w:eastAsia="pt-BR"/>
      <w14:ligatures w14:val="none"/>
    </w:rPr>
  </w:style>
  <w:style w:type="paragraph" w:styleId="Heading1">
    <w:name w:val="heading 1"/>
    <w:basedOn w:val="Normal"/>
    <w:next w:val="Normal"/>
    <w:link w:val="Heading1Char"/>
    <w:uiPriority w:val="9"/>
    <w:qFormat/>
    <w:rsid w:val="009F5B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9F5B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9F5B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9F5BD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9F5BD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9F5BD0"/>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9F5BD0"/>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9F5BD0"/>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9F5BD0"/>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BD0"/>
    <w:rPr>
      <w:rFonts w:eastAsiaTheme="majorEastAsia" w:cstheme="majorBidi"/>
      <w:color w:val="272727" w:themeColor="text1" w:themeTint="D8"/>
    </w:rPr>
  </w:style>
  <w:style w:type="paragraph" w:styleId="Title">
    <w:name w:val="Title"/>
    <w:basedOn w:val="Normal"/>
    <w:next w:val="Normal"/>
    <w:link w:val="TitleChar"/>
    <w:uiPriority w:val="10"/>
    <w:qFormat/>
    <w:rsid w:val="009F5BD0"/>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9F5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B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9F5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BD0"/>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9F5BD0"/>
    <w:rPr>
      <w:i/>
      <w:iCs/>
      <w:color w:val="404040" w:themeColor="text1" w:themeTint="BF"/>
    </w:rPr>
  </w:style>
  <w:style w:type="paragraph" w:styleId="ListParagraph">
    <w:name w:val="List Paragraph"/>
    <w:basedOn w:val="Normal"/>
    <w:uiPriority w:val="34"/>
    <w:qFormat/>
    <w:rsid w:val="009F5BD0"/>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9F5BD0"/>
    <w:rPr>
      <w:i/>
      <w:iCs/>
      <w:color w:val="0F4761" w:themeColor="accent1" w:themeShade="BF"/>
    </w:rPr>
  </w:style>
  <w:style w:type="paragraph" w:styleId="IntenseQuote">
    <w:name w:val="Intense Quote"/>
    <w:basedOn w:val="Normal"/>
    <w:next w:val="Normal"/>
    <w:link w:val="IntenseQuoteChar"/>
    <w:uiPriority w:val="30"/>
    <w:qFormat/>
    <w:rsid w:val="009F5B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9F5BD0"/>
    <w:rPr>
      <w:i/>
      <w:iCs/>
      <w:color w:val="0F4761" w:themeColor="accent1" w:themeShade="BF"/>
    </w:rPr>
  </w:style>
  <w:style w:type="character" w:styleId="IntenseReference">
    <w:name w:val="Intense Reference"/>
    <w:basedOn w:val="DefaultParagraphFont"/>
    <w:uiPriority w:val="32"/>
    <w:qFormat/>
    <w:rsid w:val="009F5BD0"/>
    <w:rPr>
      <w:b/>
      <w:bCs/>
      <w:smallCaps/>
      <w:color w:val="0F4761" w:themeColor="accent1" w:themeShade="BF"/>
      <w:spacing w:val="5"/>
    </w:rPr>
  </w:style>
  <w:style w:type="character" w:styleId="Hyperlink">
    <w:name w:val="Hyperlink"/>
    <w:basedOn w:val="DefaultParagraphFont"/>
    <w:uiPriority w:val="99"/>
    <w:unhideWhenUsed/>
    <w:rsid w:val="009F5BD0"/>
    <w:rPr>
      <w:color w:val="467886" w:themeColor="hyperlink"/>
      <w:u w:val="single"/>
    </w:rPr>
  </w:style>
  <w:style w:type="paragraph" w:styleId="NormalWeb">
    <w:name w:val="Normal (Web)"/>
    <w:basedOn w:val="Normal"/>
    <w:link w:val="NormalWebChar"/>
    <w:uiPriority w:val="99"/>
    <w:unhideWhenUsed/>
    <w:rsid w:val="009F5BD0"/>
    <w:pPr>
      <w:spacing w:before="100" w:beforeAutospacing="1" w:after="100" w:afterAutospacing="1"/>
    </w:pPr>
  </w:style>
  <w:style w:type="table" w:styleId="TableGrid">
    <w:name w:val="Table Grid"/>
    <w:basedOn w:val="TableNormal"/>
    <w:uiPriority w:val="39"/>
    <w:rsid w:val="009F5BD0"/>
    <w:pPr>
      <w:spacing w:after="0" w:line="240" w:lineRule="auto"/>
    </w:pPr>
    <w:rPr>
      <w:kern w:val="0"/>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5BD0"/>
    <w:rPr>
      <w:i/>
      <w:iCs/>
    </w:rPr>
  </w:style>
  <w:style w:type="character" w:styleId="Strong">
    <w:name w:val="Strong"/>
    <w:basedOn w:val="DefaultParagraphFont"/>
    <w:uiPriority w:val="22"/>
    <w:qFormat/>
    <w:rsid w:val="009F5BD0"/>
    <w:rPr>
      <w:b/>
      <w:bCs/>
    </w:rPr>
  </w:style>
  <w:style w:type="table" w:styleId="GridTable1Light-Accent1">
    <w:name w:val="Grid Table 1 Light Accent 1"/>
    <w:basedOn w:val="TableNormal"/>
    <w:uiPriority w:val="46"/>
    <w:rsid w:val="009F5BD0"/>
    <w:pPr>
      <w:spacing w:after="0" w:line="240" w:lineRule="auto"/>
    </w:pPr>
    <w:rPr>
      <w:kern w:val="0"/>
      <w:sz w:val="22"/>
      <w:szCs w:val="22"/>
      <w:lang w:val="pt-BR"/>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NormalWebChar">
    <w:name w:val="Normal (Web) Char"/>
    <w:basedOn w:val="DefaultParagraphFont"/>
    <w:link w:val="NormalWeb"/>
    <w:uiPriority w:val="99"/>
    <w:rsid w:val="009F5BD0"/>
    <w:rPr>
      <w:rFonts w:ascii="Times New Roman" w:eastAsia="Times New Roman" w:hAnsi="Times New Roman" w:cs="Times New Roman"/>
      <w:kern w:val="0"/>
      <w:lang w:val="pt-BR"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Render.com" TargetMode="Externa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BioRender.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2026-06-11T06:11:00Z</dcterms:created>
  <dcterms:modified xsi:type="dcterms:W3CDTF">2026-06-11T06:11:00Z</dcterms:modified>
</cp:coreProperties>
</file>