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978D" w14:textId="77777777" w:rsidR="0025707A" w:rsidRDefault="0025707A" w:rsidP="0025707A">
      <w:pPr>
        <w:pStyle w:val="ae"/>
        <w:spacing w:line="480" w:lineRule="auto"/>
      </w:pPr>
      <w:r>
        <w:rPr>
          <w:rFonts w:ascii="Times New Roman" w:hAnsi="Times New Roman"/>
          <w:b/>
        </w:rPr>
        <w:t>Supplementary Table S1.</w:t>
      </w:r>
      <w:r>
        <w:rPr>
          <w:rFonts w:ascii="Times New Roman" w:hAnsi="Times New Roman"/>
        </w:rPr>
        <w:t xml:space="preserve"> Sensitivity analyses for the 90-day landmark cohort</w:t>
      </w:r>
    </w:p>
    <w:tbl>
      <w:tblPr>
        <w:tblStyle w:val="Table"/>
        <w:tblW w:w="0" w:type="pct"/>
        <w:tblLook w:val="07E0" w:firstRow="1" w:lastRow="1" w:firstColumn="1" w:lastColumn="1" w:noHBand="1" w:noVBand="1"/>
      </w:tblPr>
      <w:tblGrid>
        <w:gridCol w:w="3182"/>
        <w:gridCol w:w="2307"/>
        <w:gridCol w:w="3151"/>
      </w:tblGrid>
      <w:tr w:rsidR="0025707A" w14:paraId="21434039" w14:textId="77777777" w:rsidTr="00264088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6C1F48F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  <w:b/>
              </w:rPr>
              <w:t>Variable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9CFE100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  <w:b/>
              </w:rPr>
              <w:t xml:space="preserve">Full </w:t>
            </w:r>
            <w:proofErr w:type="spellStart"/>
            <w:r>
              <w:rPr>
                <w:rFonts w:ascii="Times New Roman" w:hAnsi="Times New Roman"/>
                <w:b/>
              </w:rPr>
              <w:t>model</w:t>
            </w:r>
            <w:r>
              <w:rPr>
                <w:rFonts w:ascii="Times New Roman" w:hAnsi="Times New Roman"/>
                <w:b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HR (95% CI), P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6F788AD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  <w:b/>
              </w:rPr>
              <w:t xml:space="preserve">Parsimonious </w:t>
            </w:r>
            <w:proofErr w:type="spellStart"/>
            <w:r>
              <w:rPr>
                <w:rFonts w:ascii="Times New Roman" w:hAnsi="Times New Roman"/>
                <w:b/>
              </w:rPr>
              <w:t>model</w:t>
            </w:r>
            <w:r>
              <w:rPr>
                <w:rFonts w:ascii="Times New Roman" w:hAnsi="Times New Roman"/>
                <w:b/>
                <w:vertAlign w:val="superscript"/>
              </w:rPr>
              <w:t>b</w:t>
            </w:r>
            <w:proofErr w:type="spellEnd"/>
            <w:r>
              <w:rPr>
                <w:rFonts w:ascii="Times New Roman" w:hAnsi="Times New Roman"/>
                <w:b/>
              </w:rPr>
              <w:t xml:space="preserve"> HR (95% CI), P</w:t>
            </w:r>
          </w:p>
        </w:tc>
      </w:tr>
      <w:tr w:rsidR="0025707A" w14:paraId="0CFB18BC" w14:textId="77777777" w:rsidTr="00264088">
        <w:tc>
          <w:tcPr>
            <w:tcW w:w="0" w:type="auto"/>
          </w:tcPr>
          <w:p w14:paraId="2C038959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Palliative care-only (reference)</w:t>
            </w:r>
          </w:p>
        </w:tc>
        <w:tc>
          <w:tcPr>
            <w:tcW w:w="0" w:type="auto"/>
          </w:tcPr>
          <w:p w14:paraId="1EB8EF7B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1.000</w:t>
            </w:r>
          </w:p>
        </w:tc>
        <w:tc>
          <w:tcPr>
            <w:tcW w:w="0" w:type="auto"/>
          </w:tcPr>
          <w:p w14:paraId="37C7F47C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1.000</w:t>
            </w:r>
          </w:p>
        </w:tc>
      </w:tr>
      <w:tr w:rsidR="0025707A" w14:paraId="58C9ADCD" w14:textId="77777777" w:rsidTr="00264088">
        <w:tc>
          <w:tcPr>
            <w:tcW w:w="0" w:type="auto"/>
          </w:tcPr>
          <w:p w14:paraId="17F0960D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Palliative chemotherapy-only</w:t>
            </w:r>
          </w:p>
        </w:tc>
        <w:tc>
          <w:tcPr>
            <w:tcW w:w="0" w:type="auto"/>
          </w:tcPr>
          <w:p w14:paraId="03B93B94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0.028 (0.004–0.180), &lt;0.001</w:t>
            </w:r>
          </w:p>
        </w:tc>
        <w:tc>
          <w:tcPr>
            <w:tcW w:w="0" w:type="auto"/>
          </w:tcPr>
          <w:p w14:paraId="742F61D9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0.047 (0.010–0.209), &lt;0.001</w:t>
            </w:r>
          </w:p>
        </w:tc>
      </w:tr>
      <w:tr w:rsidR="0025707A" w14:paraId="6D66819E" w14:textId="77777777" w:rsidTr="00264088">
        <w:tc>
          <w:tcPr>
            <w:tcW w:w="0" w:type="auto"/>
          </w:tcPr>
          <w:p w14:paraId="4C1D87EF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  <w:b/>
              </w:rPr>
              <w:t>Quasi-BTS</w:t>
            </w:r>
          </w:p>
        </w:tc>
        <w:tc>
          <w:tcPr>
            <w:tcW w:w="0" w:type="auto"/>
          </w:tcPr>
          <w:p w14:paraId="23F4BC55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  <w:b/>
              </w:rPr>
              <w:t>0.005 (0.001–0.042), &lt;0.001</w:t>
            </w:r>
          </w:p>
        </w:tc>
        <w:tc>
          <w:tcPr>
            <w:tcW w:w="0" w:type="auto"/>
          </w:tcPr>
          <w:p w14:paraId="7EE9E0EB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  <w:b/>
              </w:rPr>
              <w:t>0.012 (0.002–0.065), &lt;0.001</w:t>
            </w:r>
          </w:p>
        </w:tc>
      </w:tr>
      <w:tr w:rsidR="0025707A" w14:paraId="1ABABDE5" w14:textId="77777777" w:rsidTr="00264088">
        <w:tc>
          <w:tcPr>
            <w:tcW w:w="0" w:type="auto"/>
          </w:tcPr>
          <w:p w14:paraId="10877A1F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Age ≥ 80 years</w:t>
            </w:r>
          </w:p>
        </w:tc>
        <w:tc>
          <w:tcPr>
            <w:tcW w:w="0" w:type="auto"/>
          </w:tcPr>
          <w:p w14:paraId="3864A425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7.869 (2.443–25.345), &lt;0.001</w:t>
            </w:r>
          </w:p>
        </w:tc>
        <w:tc>
          <w:tcPr>
            <w:tcW w:w="0" w:type="auto"/>
          </w:tcPr>
          <w:p w14:paraId="07F9F1B7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25707A" w14:paraId="7970371B" w14:textId="77777777" w:rsidTr="00264088">
        <w:tc>
          <w:tcPr>
            <w:tcW w:w="0" w:type="auto"/>
          </w:tcPr>
          <w:p w14:paraId="0913A774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Age (continuous, years)</w:t>
            </w:r>
          </w:p>
        </w:tc>
        <w:tc>
          <w:tcPr>
            <w:tcW w:w="0" w:type="auto"/>
          </w:tcPr>
          <w:p w14:paraId="520BB587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</w:tcPr>
          <w:p w14:paraId="263FD236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1.016 (0.973–1.059), 0.477</w:t>
            </w:r>
          </w:p>
        </w:tc>
      </w:tr>
      <w:tr w:rsidR="0025707A" w14:paraId="0D9020D2" w14:textId="77777777" w:rsidTr="00264088">
        <w:tc>
          <w:tcPr>
            <w:tcW w:w="0" w:type="auto"/>
          </w:tcPr>
          <w:p w14:paraId="60FF10AD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ASA II (vs I)</w:t>
            </w:r>
          </w:p>
        </w:tc>
        <w:tc>
          <w:tcPr>
            <w:tcW w:w="0" w:type="auto"/>
          </w:tcPr>
          <w:p w14:paraId="342F9F14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0.811 (0.213–3.091), 0.759</w:t>
            </w:r>
          </w:p>
        </w:tc>
        <w:tc>
          <w:tcPr>
            <w:tcW w:w="0" w:type="auto"/>
          </w:tcPr>
          <w:p w14:paraId="21F6A121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25707A" w14:paraId="516EB0AD" w14:textId="77777777" w:rsidTr="00264088">
        <w:tc>
          <w:tcPr>
            <w:tcW w:w="0" w:type="auto"/>
          </w:tcPr>
          <w:p w14:paraId="6D47C3BF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ASA III (vs I)</w:t>
            </w:r>
          </w:p>
        </w:tc>
        <w:tc>
          <w:tcPr>
            <w:tcW w:w="0" w:type="auto"/>
          </w:tcPr>
          <w:p w14:paraId="752D5DB6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0.398 (0.142–1.112), 0.079</w:t>
            </w:r>
          </w:p>
        </w:tc>
        <w:tc>
          <w:tcPr>
            <w:tcW w:w="0" w:type="auto"/>
          </w:tcPr>
          <w:p w14:paraId="6870FB89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25707A" w14:paraId="2E2F33FD" w14:textId="77777777" w:rsidTr="00264088">
        <w:tc>
          <w:tcPr>
            <w:tcW w:w="0" w:type="auto"/>
          </w:tcPr>
          <w:p w14:paraId="1E7CCAFF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Liver metastasis</w:t>
            </w:r>
          </w:p>
        </w:tc>
        <w:tc>
          <w:tcPr>
            <w:tcW w:w="0" w:type="auto"/>
          </w:tcPr>
          <w:p w14:paraId="34844C90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0.853 (0.195–3.725), 0.833</w:t>
            </w:r>
          </w:p>
        </w:tc>
        <w:tc>
          <w:tcPr>
            <w:tcW w:w="0" w:type="auto"/>
          </w:tcPr>
          <w:p w14:paraId="527A056E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0.763 (0.339–1.714), 0.512</w:t>
            </w:r>
          </w:p>
        </w:tc>
      </w:tr>
      <w:tr w:rsidR="0025707A" w14:paraId="54238801" w14:textId="77777777" w:rsidTr="00264088">
        <w:tc>
          <w:tcPr>
            <w:tcW w:w="0" w:type="auto"/>
          </w:tcPr>
          <w:p w14:paraId="63EA4162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Lung metastasis</w:t>
            </w:r>
          </w:p>
        </w:tc>
        <w:tc>
          <w:tcPr>
            <w:tcW w:w="0" w:type="auto"/>
          </w:tcPr>
          <w:p w14:paraId="2CDB2997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0.398 (0.141–1.122), 0.081</w:t>
            </w:r>
          </w:p>
        </w:tc>
        <w:tc>
          <w:tcPr>
            <w:tcW w:w="0" w:type="auto"/>
          </w:tcPr>
          <w:p w14:paraId="6ED7494A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25707A" w14:paraId="55E42FB6" w14:textId="77777777" w:rsidTr="00264088">
        <w:tc>
          <w:tcPr>
            <w:tcW w:w="0" w:type="auto"/>
          </w:tcPr>
          <w:p w14:paraId="72256C65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lastRenderedPageBreak/>
              <w:t>Peritoneal metastasis</w:t>
            </w:r>
          </w:p>
        </w:tc>
        <w:tc>
          <w:tcPr>
            <w:tcW w:w="0" w:type="auto"/>
          </w:tcPr>
          <w:p w14:paraId="20BC5D53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0.783 (0.185–3.311), 0.740</w:t>
            </w:r>
          </w:p>
        </w:tc>
        <w:tc>
          <w:tcPr>
            <w:tcW w:w="0" w:type="auto"/>
          </w:tcPr>
          <w:p w14:paraId="7554EBBA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25707A" w14:paraId="32FCBF96" w14:textId="77777777" w:rsidTr="00264088">
        <w:tc>
          <w:tcPr>
            <w:tcW w:w="0" w:type="auto"/>
            <w:tcBorders>
              <w:bottom w:val="single" w:sz="4" w:space="0" w:color="auto"/>
            </w:tcBorders>
          </w:tcPr>
          <w:p w14:paraId="2E073DBF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Use of anti-VEGF or anti-EGFR therapy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D8A00D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0.345 (0.122–0.980), 0.046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81007F" w14:textId="77777777" w:rsidR="0025707A" w:rsidRDefault="0025707A" w:rsidP="00264088">
            <w:pPr>
              <w:pStyle w:val="Compact"/>
              <w:spacing w:line="480" w:lineRule="auto"/>
            </w:pPr>
            <w:r>
              <w:rPr>
                <w:rFonts w:ascii="Times New Roman" w:hAnsi="Times New Roman"/>
              </w:rPr>
              <w:t>0.330 (0.124–0.883), 0.027</w:t>
            </w:r>
          </w:p>
        </w:tc>
      </w:tr>
    </w:tbl>
    <w:p w14:paraId="254EA0DB" w14:textId="77777777" w:rsidR="0025707A" w:rsidRDefault="0025707A" w:rsidP="0025707A">
      <w:pPr>
        <w:pStyle w:val="ae"/>
        <w:spacing w:line="480" w:lineRule="auto"/>
      </w:pPr>
      <w:r>
        <w:rPr>
          <w:rFonts w:ascii="Times New Roman" w:hAnsi="Times New Roman"/>
        </w:rPr>
        <w:t>Cohort: n = 40 (palliative care-only, n = 7; palliative chemotherapy-only, n = 17; Quasi-BTS, n = 16) after exclusion of 13 patients (24.5%) who died within 90 days of stent placement. Reference categories: palliative care-only for treatment group; ASA I for ASA classification.</w:t>
      </w:r>
    </w:p>
    <w:p w14:paraId="547DB059" w14:textId="77777777" w:rsidR="0025707A" w:rsidRDefault="0025707A" w:rsidP="0025707A">
      <w:pPr>
        <w:pStyle w:val="ae"/>
        <w:spacing w:line="480" w:lineRule="auto"/>
      </w:pPr>
      <w:r>
        <w:rPr>
          <w:rFonts w:ascii="Times New Roman" w:hAnsi="Times New Roman"/>
        </w:rPr>
        <w:t xml:space="preserve">Kaplan–Meier log-rank: χ² = 52.59, </w:t>
      </w:r>
      <w:proofErr w:type="spellStart"/>
      <w:r>
        <w:rPr>
          <w:rFonts w:ascii="Times New Roman" w:hAnsi="Times New Roman"/>
        </w:rPr>
        <w:t>df</w:t>
      </w:r>
      <w:proofErr w:type="spellEnd"/>
      <w:r>
        <w:rPr>
          <w:rFonts w:ascii="Times New Roman" w:hAnsi="Times New Roman"/>
        </w:rPr>
        <w:t xml:space="preserve"> = 2, P &lt; 0.001.</w:t>
      </w:r>
    </w:p>
    <w:p w14:paraId="74E32869" w14:textId="77777777" w:rsidR="0025707A" w:rsidRDefault="0025707A" w:rsidP="0025707A">
      <w:pPr>
        <w:pStyle w:val="ae"/>
        <w:spacing w:line="480" w:lineRule="auto"/>
      </w:pPr>
      <w:r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 xml:space="preserve"> Full model: same covariates as the primary analysis (Table 3).</w:t>
      </w:r>
    </w:p>
    <w:p w14:paraId="49923B6E" w14:textId="77777777" w:rsidR="0025707A" w:rsidRDefault="0025707A" w:rsidP="0025707A">
      <w:pPr>
        <w:pStyle w:val="ae"/>
        <w:spacing w:line="480" w:lineRule="auto"/>
      </w:pPr>
      <w:r>
        <w:rPr>
          <w:rFonts w:ascii="Times New Roman" w:hAnsi="Times New Roman"/>
          <w:vertAlign w:val="superscript"/>
        </w:rPr>
        <w:t>b</w:t>
      </w:r>
      <w:r>
        <w:rPr>
          <w:rFonts w:ascii="Times New Roman" w:hAnsi="Times New Roman"/>
        </w:rPr>
        <w:t xml:space="preserve"> Parsimonious model: restricted to four key covariates (treatment group, age, liver metastasis, and anti-VEGF/anti-EGFR therapy use) to address the suboptimal events-per-variable ratio in the full model.</w:t>
      </w:r>
    </w:p>
    <w:p w14:paraId="09FECB66" w14:textId="77777777" w:rsidR="0025707A" w:rsidRDefault="0025707A" w:rsidP="0025707A">
      <w:pPr>
        <w:pStyle w:val="ae"/>
        <w:spacing w:line="480" w:lineRule="auto"/>
      </w:pPr>
      <w:r>
        <w:rPr>
          <w:rFonts w:ascii="Times New Roman" w:hAnsi="Times New Roman"/>
        </w:rPr>
        <w:t>CI, confidence interval; HR, hazard ratio; VEGF, vascular endothelial growth factor; EGFR, epidermal growth factor receptor; ASA, American Society of Anesthesiologists.</w:t>
      </w:r>
    </w:p>
    <w:p w14:paraId="0965A490" w14:textId="77777777" w:rsidR="000C0A52" w:rsidRDefault="000C0A52"/>
    <w:sectPr w:rsidR="000C0A52" w:rsidSect="0025707A">
      <w:pgSz w:w="12240" w:h="15840"/>
      <w:pgMar w:top="1440" w:right="1800" w:bottom="1440" w:left="1800" w:header="720" w:footer="720" w:gutter="0"/>
      <w:lnNumType w:countBy="1" w:start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7A"/>
    <w:rsid w:val="000C0A52"/>
    <w:rsid w:val="0025707A"/>
    <w:rsid w:val="007E5696"/>
    <w:rsid w:val="00B30455"/>
    <w:rsid w:val="00D8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9D04"/>
  <w15:chartTrackingRefBased/>
  <w15:docId w15:val="{6043C2C7-7648-478F-A529-45B10A05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07A"/>
    <w:pPr>
      <w:spacing w:after="200" w:line="240" w:lineRule="auto"/>
    </w:pPr>
    <w:rPr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07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7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07A"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07A"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2E74B5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07A"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07A"/>
    <w:pPr>
      <w:keepNext/>
      <w:keepLines/>
      <w:widowControl w:val="0"/>
      <w:spacing w:before="40" w:after="0" w:line="278" w:lineRule="auto"/>
      <w:outlineLvl w:val="5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07A"/>
    <w:pPr>
      <w:keepNext/>
      <w:keepLines/>
      <w:widowControl w:val="0"/>
      <w:spacing w:before="40" w:after="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07A"/>
    <w:pPr>
      <w:keepNext/>
      <w:keepLines/>
      <w:widowControl w:val="0"/>
      <w:spacing w:before="40" w:after="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07A"/>
    <w:pPr>
      <w:keepNext/>
      <w:keepLines/>
      <w:widowControl w:val="0"/>
      <w:spacing w:before="40" w:after="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707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70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707A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70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707A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70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70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70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7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07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5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07A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57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07A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57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07A"/>
    <w:pPr>
      <w:widowControl w:val="0"/>
      <w:spacing w:after="160" w:line="278" w:lineRule="auto"/>
      <w:ind w:left="720"/>
      <w:contextualSpacing/>
    </w:pPr>
    <w:rPr>
      <w:kern w:val="2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2570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07A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5707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5707A"/>
    <w:rPr>
      <w:b/>
      <w:bCs/>
      <w:smallCaps/>
      <w:color w:val="2E74B5" w:themeColor="accent1" w:themeShade="BF"/>
      <w:spacing w:val="5"/>
    </w:rPr>
  </w:style>
  <w:style w:type="paragraph" w:styleId="ae">
    <w:name w:val="Body Text"/>
    <w:basedOn w:val="a"/>
    <w:link w:val="af"/>
    <w:qFormat/>
    <w:rsid w:val="0025707A"/>
    <w:pPr>
      <w:spacing w:before="180" w:after="180"/>
    </w:pPr>
  </w:style>
  <w:style w:type="character" w:customStyle="1" w:styleId="af">
    <w:name w:val="本文 字元"/>
    <w:basedOn w:val="a0"/>
    <w:link w:val="ae"/>
    <w:rsid w:val="0025707A"/>
    <w:rPr>
      <w:kern w:val="0"/>
      <w:lang w:eastAsia="en-US"/>
      <w14:ligatures w14:val="none"/>
    </w:rPr>
  </w:style>
  <w:style w:type="paragraph" w:customStyle="1" w:styleId="Compact">
    <w:name w:val="Compact"/>
    <w:basedOn w:val="ae"/>
    <w:qFormat/>
    <w:rsid w:val="0025707A"/>
    <w:pPr>
      <w:spacing w:before="36" w:after="36"/>
    </w:pPr>
  </w:style>
  <w:style w:type="table" w:customStyle="1" w:styleId="Table">
    <w:name w:val="Table"/>
    <w:semiHidden/>
    <w:unhideWhenUsed/>
    <w:qFormat/>
    <w:rsid w:val="0025707A"/>
    <w:pPr>
      <w:spacing w:after="200" w:line="240" w:lineRule="auto"/>
    </w:pPr>
    <w:rPr>
      <w:kern w:val="0"/>
      <w:lang w:eastAsia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25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>HP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Huan Huang</dc:creator>
  <cp:keywords/>
  <dc:description/>
  <cp:lastModifiedBy>Shu Huan Huang</cp:lastModifiedBy>
  <cp:revision>1</cp:revision>
  <dcterms:created xsi:type="dcterms:W3CDTF">2026-04-25T07:49:00Z</dcterms:created>
  <dcterms:modified xsi:type="dcterms:W3CDTF">2026-04-25T07:50:00Z</dcterms:modified>
</cp:coreProperties>
</file>