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548645" w14:textId="776EE624" w:rsidR="00FE69B6" w:rsidRPr="00B03B17" w:rsidRDefault="00D720F2" w:rsidP="00B03B17">
      <w:pPr>
        <w:pStyle w:val="1"/>
        <w:jc w:val="center"/>
        <w:rPr>
          <w:rFonts w:ascii="Times New Roman" w:hAnsi="Times New Roman" w:cs="Times New Roman"/>
        </w:rPr>
      </w:pPr>
      <w:r w:rsidRPr="00D720F2">
        <w:rPr>
          <w:rFonts w:ascii="Times New Roman" w:hAnsi="Times New Roman" w:cs="Times New Roman"/>
        </w:rPr>
        <w:t xml:space="preserve">Supplementary Information </w:t>
      </w:r>
    </w:p>
    <w:p w14:paraId="463223F7" w14:textId="3FBF0F9D" w:rsidR="00B47302" w:rsidRPr="006D1D25" w:rsidRDefault="00845898" w:rsidP="00B47302">
      <w:pPr>
        <w:pStyle w:val="Web"/>
        <w:jc w:val="center"/>
        <w:rPr>
          <w:b/>
          <w:bCs/>
          <w:sz w:val="28"/>
          <w:szCs w:val="28"/>
          <w:lang w:val="en-GB" w:eastAsia="ja-JP"/>
        </w:rPr>
      </w:pPr>
      <w:r w:rsidRPr="006D1D25">
        <w:rPr>
          <w:b/>
          <w:bCs/>
          <w:sz w:val="28"/>
          <w:szCs w:val="28"/>
          <w:lang w:val="en-GB"/>
        </w:rPr>
        <w:t>Asymmetric precursor</w:t>
      </w:r>
      <w:r w:rsidRPr="006D1D25">
        <w:rPr>
          <w:rFonts w:hint="eastAsia"/>
          <w:b/>
          <w:bCs/>
          <w:sz w:val="28"/>
          <w:szCs w:val="28"/>
          <w:lang w:val="en-GB" w:eastAsia="ja-JP"/>
        </w:rPr>
        <w:t>s</w:t>
      </w:r>
      <w:r w:rsidRPr="006D1D25">
        <w:rPr>
          <w:b/>
          <w:bCs/>
          <w:sz w:val="28"/>
          <w:szCs w:val="28"/>
          <w:lang w:val="en-GB"/>
        </w:rPr>
        <w:t xml:space="preserve"> modulate western North Pacific </w:t>
      </w:r>
      <w:r w:rsidRPr="006D1D25">
        <w:rPr>
          <w:b/>
          <w:bCs/>
          <w:sz w:val="28"/>
          <w:szCs w:val="28"/>
        </w:rPr>
        <w:t xml:space="preserve">subtropical </w:t>
      </w:r>
      <w:r w:rsidRPr="006D1D25">
        <w:rPr>
          <w:b/>
          <w:bCs/>
          <w:sz w:val="28"/>
          <w:szCs w:val="28"/>
          <w:lang w:val="en-GB"/>
        </w:rPr>
        <w:t>high</w:t>
      </w:r>
      <w:r w:rsidRPr="006D1D25">
        <w:rPr>
          <w:sz w:val="22"/>
          <w:szCs w:val="22"/>
        </w:rPr>
        <w:t xml:space="preserve"> </w:t>
      </w:r>
      <w:r w:rsidRPr="006D1D25">
        <w:rPr>
          <w:b/>
          <w:bCs/>
          <w:sz w:val="28"/>
          <w:szCs w:val="28"/>
          <w:lang w:val="en-GB"/>
        </w:rPr>
        <w:t>predictability</w:t>
      </w:r>
    </w:p>
    <w:p w14:paraId="5949BA6B" w14:textId="77777777" w:rsidR="00B47302" w:rsidRPr="00B47302" w:rsidRDefault="00B47302" w:rsidP="00DA3F60">
      <w:pPr>
        <w:pStyle w:val="Heading3"/>
        <w:spacing w:before="240" w:after="0" w:line="360" w:lineRule="auto"/>
        <w:jc w:val="center"/>
        <w:rPr>
          <w:rFonts w:eastAsia="Times New Roman"/>
          <w:color w:val="222222"/>
          <w:sz w:val="22"/>
          <w:szCs w:val="22"/>
          <w:vertAlign w:val="superscript"/>
          <w:lang w:val="en-GB" w:eastAsia="pt-BR"/>
        </w:rPr>
      </w:pPr>
      <w:r w:rsidRPr="00B47302">
        <w:rPr>
          <w:sz w:val="22"/>
          <w:szCs w:val="22"/>
          <w:lang w:val="en-GB"/>
        </w:rPr>
        <w:t>Yuki Maeda</w:t>
      </w:r>
      <w:r w:rsidRPr="00B47302">
        <w:rPr>
          <w:sz w:val="22"/>
          <w:szCs w:val="22"/>
          <w:vertAlign w:val="superscript"/>
          <w:lang w:val="en-GB"/>
        </w:rPr>
        <w:t>1</w:t>
      </w:r>
      <w:r w:rsidRPr="00B47302">
        <w:rPr>
          <w:sz w:val="22"/>
          <w:szCs w:val="22"/>
          <w:vertAlign w:val="superscript"/>
          <w:lang w:eastAsia="ja-JP"/>
        </w:rPr>
        <w:t>*</w:t>
      </w:r>
      <w:r w:rsidRPr="00B47302">
        <w:rPr>
          <w:rFonts w:hint="eastAsia"/>
          <w:sz w:val="22"/>
          <w:szCs w:val="22"/>
          <w:lang w:val="en-GB" w:eastAsia="ja-JP"/>
        </w:rPr>
        <w:t>,</w:t>
      </w:r>
      <w:r w:rsidRPr="00B47302">
        <w:rPr>
          <w:sz w:val="22"/>
          <w:szCs w:val="22"/>
          <w:lang w:val="en-GB"/>
        </w:rPr>
        <w:t xml:space="preserve"> Masaki Satoh</w:t>
      </w:r>
      <w:r w:rsidRPr="00B47302">
        <w:rPr>
          <w:sz w:val="22"/>
          <w:szCs w:val="22"/>
          <w:vertAlign w:val="superscript"/>
          <w:lang w:val="en-GB"/>
        </w:rPr>
        <w:t>1,2</w:t>
      </w:r>
    </w:p>
    <w:p w14:paraId="7C81844B" w14:textId="77777777" w:rsidR="00B47302" w:rsidRPr="00B47302" w:rsidRDefault="00B47302" w:rsidP="002F4C59">
      <w:pPr>
        <w:pStyle w:val="Web"/>
        <w:shd w:val="clear" w:color="auto" w:fill="FFFFFF"/>
        <w:spacing w:before="0" w:beforeAutospacing="0" w:after="0" w:afterAutospacing="0" w:line="360" w:lineRule="auto"/>
        <w:rPr>
          <w:b/>
          <w:bCs/>
          <w:color w:val="222222"/>
          <w:sz w:val="21"/>
          <w:szCs w:val="21"/>
          <w:lang w:eastAsia="pt-BR"/>
        </w:rPr>
      </w:pPr>
      <w:r w:rsidRPr="00B47302">
        <w:rPr>
          <w:b/>
          <w:bCs/>
          <w:color w:val="222222"/>
          <w:sz w:val="21"/>
          <w:szCs w:val="21"/>
          <w:lang w:eastAsia="pt-BR"/>
        </w:rPr>
        <w:t>1 Atmosphere and Ocean Research Institute, The University of Tokyo, Chiba, Japan</w:t>
      </w:r>
    </w:p>
    <w:p w14:paraId="46604B0B" w14:textId="5B73D650" w:rsidR="002F4C59" w:rsidRDefault="00B47302" w:rsidP="002F4C59">
      <w:pPr>
        <w:pStyle w:val="Web"/>
        <w:shd w:val="clear" w:color="auto" w:fill="FFFFFF"/>
        <w:spacing w:before="0" w:beforeAutospacing="0" w:after="0" w:afterAutospacing="0" w:line="360" w:lineRule="auto"/>
        <w:rPr>
          <w:b/>
          <w:bCs/>
          <w:color w:val="222222"/>
          <w:sz w:val="21"/>
          <w:szCs w:val="21"/>
          <w:lang w:eastAsia="pt-BR"/>
        </w:rPr>
      </w:pPr>
      <w:r w:rsidRPr="00B47302">
        <w:rPr>
          <w:b/>
          <w:bCs/>
          <w:color w:val="222222"/>
          <w:sz w:val="21"/>
          <w:szCs w:val="21"/>
          <w:lang w:eastAsia="pt-BR"/>
        </w:rPr>
        <w:t>2 Typhoon Science and Technology Research Center, Yokohama National University, Kanagawa, Japan</w:t>
      </w:r>
    </w:p>
    <w:p w14:paraId="224E780C" w14:textId="77777777" w:rsidR="002F4C59" w:rsidRDefault="002F4C59" w:rsidP="002F4C59">
      <w:pPr>
        <w:pStyle w:val="Web"/>
        <w:shd w:val="clear" w:color="auto" w:fill="FFFFFF"/>
        <w:spacing w:before="0" w:beforeAutospacing="0" w:after="0" w:afterAutospacing="0" w:line="360" w:lineRule="auto"/>
        <w:rPr>
          <w:b/>
          <w:bCs/>
          <w:color w:val="222222"/>
          <w:sz w:val="21"/>
          <w:szCs w:val="21"/>
          <w:lang w:eastAsia="pt-BR"/>
        </w:rPr>
      </w:pPr>
    </w:p>
    <w:p w14:paraId="7D1D574C" w14:textId="47B895CD" w:rsidR="002F4C59" w:rsidRPr="0007457F" w:rsidRDefault="00ED7F3A" w:rsidP="002F4C59">
      <w:pPr>
        <w:pStyle w:val="Web"/>
        <w:shd w:val="clear" w:color="auto" w:fill="FFFFFF"/>
        <w:spacing w:before="0" w:beforeAutospacing="0" w:after="0" w:afterAutospacing="0" w:line="360" w:lineRule="auto"/>
        <w:rPr>
          <w:color w:val="222222"/>
          <w:sz w:val="21"/>
          <w:szCs w:val="21"/>
          <w:lang w:eastAsia="ja-JP"/>
        </w:rPr>
      </w:pPr>
      <w:r w:rsidRPr="0007457F">
        <w:rPr>
          <w:color w:val="222222"/>
          <w:sz w:val="21"/>
          <w:szCs w:val="21"/>
          <w:lang w:eastAsia="ja-JP"/>
        </w:rPr>
        <w:t>*Correspond</w:t>
      </w:r>
      <w:r w:rsidR="002550A0" w:rsidRPr="0007457F">
        <w:rPr>
          <w:color w:val="222222"/>
          <w:sz w:val="21"/>
          <w:szCs w:val="21"/>
          <w:lang w:eastAsia="ja-JP"/>
        </w:rPr>
        <w:t xml:space="preserve">ing author: </w:t>
      </w:r>
      <w:r w:rsidR="0007457F" w:rsidRPr="0007457F">
        <w:rPr>
          <w:color w:val="222222"/>
          <w:sz w:val="21"/>
          <w:szCs w:val="21"/>
          <w:lang w:eastAsia="ja-JP"/>
        </w:rPr>
        <w:t xml:space="preserve">Yuki Maeda (E-mail: </w:t>
      </w:r>
      <w:hyperlink r:id="rId6" w:history="1">
        <w:r w:rsidR="0007457F" w:rsidRPr="0007457F">
          <w:rPr>
            <w:rStyle w:val="aa"/>
            <w:sz w:val="21"/>
            <w:szCs w:val="21"/>
            <w:lang w:eastAsia="ja-JP"/>
          </w:rPr>
          <w:t>maeda-y@aori.u-tokyo.ac.jp</w:t>
        </w:r>
      </w:hyperlink>
      <w:r w:rsidR="0007457F" w:rsidRPr="0007457F">
        <w:rPr>
          <w:color w:val="222222"/>
          <w:sz w:val="21"/>
          <w:szCs w:val="21"/>
          <w:lang w:eastAsia="ja-JP"/>
        </w:rPr>
        <w:t>)</w:t>
      </w:r>
    </w:p>
    <w:p w14:paraId="662D936D" w14:textId="44F1B0E5" w:rsidR="002F4C59" w:rsidRPr="0007457F" w:rsidRDefault="002F4C59">
      <w:pPr>
        <w:widowControl/>
        <w:rPr>
          <w:rFonts w:ascii="Times New Roman" w:hAnsi="Times New Roman" w:cs="Times New Roman"/>
          <w:b/>
          <w:bCs/>
        </w:rPr>
      </w:pPr>
    </w:p>
    <w:p w14:paraId="5A37CB3E" w14:textId="77777777" w:rsidR="002F4C59" w:rsidRDefault="002F4C59">
      <w:pPr>
        <w:widowControl/>
        <w:rPr>
          <w:rFonts w:ascii="Times New Roman" w:hAnsi="Times New Roman" w:cs="Times New Roman"/>
          <w:b/>
          <w:bCs/>
        </w:rPr>
      </w:pPr>
      <w:r>
        <w:rPr>
          <w:rFonts w:ascii="Times New Roman" w:hAnsi="Times New Roman" w:cs="Times New Roman"/>
          <w:b/>
          <w:bCs/>
        </w:rPr>
        <w:br w:type="page"/>
      </w:r>
    </w:p>
    <w:p w14:paraId="5B8517D8" w14:textId="3DE8C4D7" w:rsidR="00296AED" w:rsidRPr="00296AED" w:rsidRDefault="00296AED" w:rsidP="00296AED">
      <w:pPr>
        <w:rPr>
          <w:rFonts w:ascii="Times New Roman" w:hAnsi="Times New Roman" w:cs="Times New Roman"/>
        </w:rPr>
      </w:pPr>
      <w:r>
        <w:rPr>
          <w:rFonts w:ascii="Times New Roman" w:hAnsi="Times New Roman" w:cs="Times New Roman"/>
          <w:noProof/>
        </w:rPr>
        <w:lastRenderedPageBreak/>
        <w:drawing>
          <wp:inline distT="0" distB="0" distL="0" distR="0" wp14:anchorId="028FB433" wp14:editId="0DB67081">
            <wp:extent cx="5400040" cy="2531745"/>
            <wp:effectExtent l="0" t="0" r="0" b="0"/>
            <wp:docPr id="150865863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58635" name="図 1508658635"/>
                    <pic:cNvPicPr/>
                  </pic:nvPicPr>
                  <pic:blipFill>
                    <a:blip r:embed="rId7"/>
                    <a:stretch>
                      <a:fillRect/>
                    </a:stretch>
                  </pic:blipFill>
                  <pic:spPr>
                    <a:xfrm>
                      <a:off x="0" y="0"/>
                      <a:ext cx="5400040" cy="2531745"/>
                    </a:xfrm>
                    <a:prstGeom prst="rect">
                      <a:avLst/>
                    </a:prstGeom>
                  </pic:spPr>
                </pic:pic>
              </a:graphicData>
            </a:graphic>
          </wp:inline>
        </w:drawing>
      </w:r>
      <w:r w:rsidRPr="00296AED">
        <w:rPr>
          <w:rFonts w:ascii="Times New Roman" w:hAnsi="Times New Roman" w:cs="Times New Roman"/>
          <w:b/>
          <w:bCs/>
        </w:rPr>
        <w:t>Supplementary Fig. 1 | Characteristics of the WNPSH eddy index.</w:t>
      </w:r>
      <w:r w:rsidR="00F80870">
        <w:rPr>
          <w:rFonts w:ascii="Times New Roman" w:hAnsi="Times New Roman" w:cs="Times New Roman"/>
        </w:rPr>
        <w:br/>
      </w:r>
      <w:proofErr w:type="gramStart"/>
      <w:r w:rsidRPr="00296AED">
        <w:rPr>
          <w:rFonts w:ascii="Times New Roman" w:hAnsi="Times New Roman" w:cs="Times New Roman"/>
          <w:b/>
          <w:bCs/>
        </w:rPr>
        <w:t>a</w:t>
      </w:r>
      <w:r w:rsidRPr="00296AED">
        <w:rPr>
          <w:rFonts w:ascii="Times New Roman" w:hAnsi="Times New Roman" w:cs="Times New Roman"/>
        </w:rPr>
        <w:t>,</w:t>
      </w:r>
      <w:proofErr w:type="gramEnd"/>
      <w:r w:rsidRPr="00296AED">
        <w:rPr>
          <w:rFonts w:ascii="Times New Roman" w:hAnsi="Times New Roman" w:cs="Times New Roman"/>
        </w:rPr>
        <w:t xml:space="preserve"> Pressure–longitude structure of EOF1, averaged over latitude, from 1,000 to 250 </w:t>
      </w:r>
      <w:proofErr w:type="spellStart"/>
      <w:r w:rsidRPr="00296AED">
        <w:rPr>
          <w:rFonts w:ascii="Times New Roman" w:hAnsi="Times New Roman" w:cs="Times New Roman"/>
        </w:rPr>
        <w:t>hPa</w:t>
      </w:r>
      <w:proofErr w:type="spellEnd"/>
      <w:r w:rsidRPr="00296AED">
        <w:rPr>
          <w:rFonts w:ascii="Times New Roman" w:hAnsi="Times New Roman" w:cs="Times New Roman"/>
        </w:rPr>
        <w:t xml:space="preserve">. </w:t>
      </w:r>
      <w:r w:rsidRPr="00296AED">
        <w:rPr>
          <w:rFonts w:ascii="Times New Roman" w:hAnsi="Times New Roman" w:cs="Times New Roman"/>
          <w:b/>
          <w:bCs/>
        </w:rPr>
        <w:t>b</w:t>
      </w:r>
      <w:r w:rsidRPr="00296AED">
        <w:rPr>
          <w:rFonts w:ascii="Times New Roman" w:hAnsi="Times New Roman" w:cs="Times New Roman"/>
        </w:rPr>
        <w:t>, Power spectrum of the WNPSH eddy index, together with the fitted red-noise spectrum (grey solid line) and the 95% confidence level (grey dashed line).</w:t>
      </w:r>
    </w:p>
    <w:p w14:paraId="0305D7DC" w14:textId="2B06BA5D" w:rsidR="00296AED" w:rsidRDefault="00296AED">
      <w:pPr>
        <w:widowControl/>
        <w:rPr>
          <w:rFonts w:ascii="Times New Roman" w:hAnsi="Times New Roman" w:cs="Times New Roman"/>
        </w:rPr>
      </w:pPr>
      <w:r>
        <w:rPr>
          <w:rFonts w:ascii="Times New Roman" w:hAnsi="Times New Roman" w:cs="Times New Roman"/>
        </w:rPr>
        <w:br w:type="page"/>
      </w:r>
    </w:p>
    <w:p w14:paraId="3C284FC9" w14:textId="6C9FEFD2" w:rsidR="007C0D47" w:rsidRDefault="002A3632">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8240" behindDoc="0" locked="0" layoutInCell="1" allowOverlap="1" wp14:anchorId="4EC03802" wp14:editId="593AC187">
            <wp:simplePos x="0" y="0"/>
            <wp:positionH relativeFrom="column">
              <wp:posOffset>-445135</wp:posOffset>
            </wp:positionH>
            <wp:positionV relativeFrom="paragraph">
              <wp:posOffset>183570</wp:posOffset>
            </wp:positionV>
            <wp:extent cx="6318250" cy="2027555"/>
            <wp:effectExtent l="0" t="0" r="6350" b="4445"/>
            <wp:wrapSquare wrapText="bothSides"/>
            <wp:docPr id="120920166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01662" name="図 1209201662"/>
                    <pic:cNvPicPr/>
                  </pic:nvPicPr>
                  <pic:blipFill>
                    <a:blip r:embed="rId8"/>
                    <a:stretch>
                      <a:fillRect/>
                    </a:stretch>
                  </pic:blipFill>
                  <pic:spPr>
                    <a:xfrm>
                      <a:off x="0" y="0"/>
                      <a:ext cx="6318250" cy="2027555"/>
                    </a:xfrm>
                    <a:prstGeom prst="rect">
                      <a:avLst/>
                    </a:prstGeom>
                  </pic:spPr>
                </pic:pic>
              </a:graphicData>
            </a:graphic>
            <wp14:sizeRelH relativeFrom="page">
              <wp14:pctWidth>0</wp14:pctWidth>
            </wp14:sizeRelH>
            <wp14:sizeRelV relativeFrom="page">
              <wp14:pctHeight>0</wp14:pctHeight>
            </wp14:sizeRelV>
          </wp:anchor>
        </w:drawing>
      </w:r>
    </w:p>
    <w:p w14:paraId="42F01CD3" w14:textId="76ABDB11" w:rsidR="002A3632" w:rsidRPr="002A3632" w:rsidRDefault="002A3632" w:rsidP="002A3632">
      <w:pPr>
        <w:rPr>
          <w:rFonts w:ascii="Times New Roman" w:hAnsi="Times New Roman" w:cs="Times New Roman"/>
        </w:rPr>
      </w:pPr>
      <w:r w:rsidRPr="002A3632">
        <w:rPr>
          <w:rFonts w:ascii="Times New Roman" w:hAnsi="Times New Roman" w:cs="Times New Roman"/>
          <w:b/>
          <w:bCs/>
        </w:rPr>
        <w:t>Supplementary Fig.2 |</w:t>
      </w:r>
      <w:r>
        <w:rPr>
          <w:rFonts w:ascii="Times New Roman" w:hAnsi="Times New Roman" w:cs="Times New Roman"/>
          <w:b/>
          <w:bCs/>
        </w:rPr>
        <w:t xml:space="preserve"> </w:t>
      </w:r>
      <w:r w:rsidRPr="002A3632">
        <w:rPr>
          <w:rFonts w:ascii="Times New Roman" w:hAnsi="Times New Roman" w:cs="Times New Roman"/>
          <w:b/>
          <w:bCs/>
        </w:rPr>
        <w:t>Deep-learning architecture for probabilistic prediction of the WNPSH index.</w:t>
      </w:r>
      <w:r w:rsidRPr="002A3632">
        <w:rPr>
          <w:rFonts w:ascii="Times New Roman" w:hAnsi="Times New Roman" w:cs="Times New Roman"/>
        </w:rPr>
        <w:br/>
        <w:t xml:space="preserve">The model takes 11 input variables, each standardized as anomalies relative to climatology and stacked with lags over the preceding 5 days to form a four-dimensional input tensor. The architecture consists of three time–space 3D convolution layers followed by a multi-head attention </w:t>
      </w:r>
      <w:proofErr w:type="gramStart"/>
      <w:r w:rsidRPr="002A3632">
        <w:rPr>
          <w:rFonts w:ascii="Times New Roman" w:hAnsi="Times New Roman" w:cs="Times New Roman"/>
        </w:rPr>
        <w:t>layer, and</w:t>
      </w:r>
      <w:proofErr w:type="gramEnd"/>
      <w:r w:rsidRPr="002A3632">
        <w:rPr>
          <w:rFonts w:ascii="Times New Roman" w:hAnsi="Times New Roman" w:cs="Times New Roman"/>
        </w:rPr>
        <w:t xml:space="preserve"> then splits into two output branches that regress the predictive mean </w:t>
      </w:r>
      <m:oMath>
        <m:r>
          <w:rPr>
            <w:rFonts w:ascii="Cambria Math" w:hAnsi="Cambria Math" w:cs="Times New Roman"/>
          </w:rPr>
          <m:t>μ</m:t>
        </m:r>
      </m:oMath>
      <w:r w:rsidRPr="002A3632">
        <w:rPr>
          <w:rFonts w:ascii="Times New Roman" w:hAnsi="Times New Roman" w:cs="Times New Roman"/>
        </w:rPr>
        <w:t> and log standard deviation </w:t>
      </w:r>
      <m:oMath>
        <m:func>
          <m:funcPr>
            <m:ctrlPr>
              <w:rPr>
                <w:rFonts w:ascii="Cambria Math" w:hAnsi="Cambria Math" w:cs="Times New Roman"/>
                <w:i/>
                <w:iCs/>
              </w:rPr>
            </m:ctrlPr>
          </m:funcPr>
          <m:fName>
            <m:r>
              <m:rPr>
                <m:sty m:val="p"/>
              </m:rPr>
              <w:rPr>
                <w:rFonts w:ascii="Cambria Math" w:hAnsi="Cambria Math" w:cs="Times New Roman"/>
              </w:rPr>
              <m:t>log</m:t>
            </m:r>
          </m:fName>
          <m:e>
            <m:r>
              <w:rPr>
                <w:rFonts w:ascii="Cambria Math" w:hAnsi="Cambria Math" w:cs="Times New Roman"/>
              </w:rPr>
              <m:t>σ</m:t>
            </m:r>
          </m:e>
        </m:func>
      </m:oMath>
      <w:r w:rsidRPr="002A3632">
        <w:rPr>
          <w:rFonts w:ascii="Times New Roman" w:hAnsi="Times New Roman" w:cs="Times New Roman"/>
          <w:rtl/>
          <w:lang w:bidi="ar-AE"/>
        </w:rPr>
        <w:t xml:space="preserve">. </w:t>
      </w:r>
      <w:r w:rsidRPr="002A3632">
        <w:rPr>
          <w:rFonts w:ascii="Times New Roman" w:hAnsi="Times New Roman" w:cs="Times New Roman"/>
        </w:rPr>
        <w:t>Separate models are trained for each lead time </w:t>
      </w:r>
      <m:oMath>
        <m:r>
          <w:rPr>
            <w:rFonts w:ascii="Cambria Math" w:hAnsi="Cambria Math" w:cs="Times New Roman"/>
          </w:rPr>
          <m:t>τ</m:t>
        </m:r>
      </m:oMath>
      <w:r w:rsidRPr="002A3632">
        <w:rPr>
          <w:rFonts w:ascii="Times New Roman" w:hAnsi="Times New Roman" w:cs="Times New Roman"/>
        </w:rPr>
        <w:t> from 0 to 30 days. For each lead time, predictions are obtained from the mean of an ensemble of 10 independently initialized models.</w:t>
      </w:r>
    </w:p>
    <w:p w14:paraId="0A814E73" w14:textId="0EB331DF" w:rsidR="008D4BDE" w:rsidRDefault="002A3632">
      <w:pPr>
        <w:widowControl/>
        <w:rPr>
          <w:rFonts w:ascii="Times New Roman" w:hAnsi="Times New Roman" w:cs="Times New Roman"/>
        </w:rPr>
      </w:pPr>
      <w:r>
        <w:rPr>
          <w:rFonts w:ascii="Times New Roman" w:hAnsi="Times New Roman" w:cs="Times New Roman"/>
        </w:rPr>
        <w:br w:type="page"/>
      </w:r>
    </w:p>
    <w:p w14:paraId="0070E2F3" w14:textId="556CEB11" w:rsidR="00EA1364" w:rsidRPr="009C474F" w:rsidRDefault="009C474F">
      <w:pPr>
        <w:widowControl/>
        <w:rPr>
          <w:rFonts w:ascii="Times New Roman" w:hAnsi="Times New Roman" w:cs="Times New Roman"/>
        </w:rPr>
      </w:pPr>
      <w:r w:rsidRPr="009C474F">
        <w:rPr>
          <w:rFonts w:ascii="Times New Roman" w:hAnsi="Times New Roman" w:cs="Times New Roman"/>
          <w:b/>
          <w:bCs/>
        </w:rPr>
        <w:lastRenderedPageBreak/>
        <w:t>Supplementary Table 1 | Hyperparameters of the probabilistic deep learning model</w:t>
      </w:r>
      <w:r>
        <w:rPr>
          <w:rFonts w:ascii="Times New Roman" w:hAnsi="Times New Roman" w:cs="Times New Roman"/>
        </w:rPr>
        <w:t>.</w:t>
      </w:r>
    </w:p>
    <w:tbl>
      <w:tblPr>
        <w:tblW w:w="8488" w:type="dxa"/>
        <w:tblCellMar>
          <w:left w:w="0" w:type="dxa"/>
          <w:right w:w="0" w:type="dxa"/>
        </w:tblCellMar>
        <w:tblLook w:val="0600" w:firstRow="0" w:lastRow="0" w:firstColumn="0" w:lastColumn="0" w:noHBand="1" w:noVBand="1"/>
      </w:tblPr>
      <w:tblGrid>
        <w:gridCol w:w="2374"/>
        <w:gridCol w:w="2578"/>
        <w:gridCol w:w="3536"/>
      </w:tblGrid>
      <w:tr w:rsidR="00EA1364" w:rsidRPr="008D4BDE" w14:paraId="492ACC1A" w14:textId="77777777" w:rsidTr="00EA1364">
        <w:trPr>
          <w:trHeight w:val="340"/>
        </w:trPr>
        <w:tc>
          <w:tcPr>
            <w:tcW w:w="2374" w:type="dxa"/>
            <w:tcBorders>
              <w:top w:val="single" w:sz="8" w:space="0" w:color="D1D1D1"/>
              <w:left w:val="single" w:sz="8" w:space="0" w:color="D1D1D1"/>
              <w:bottom w:val="single" w:sz="8" w:space="0" w:color="747474"/>
              <w:right w:val="single" w:sz="8" w:space="0" w:color="D1D1D1"/>
            </w:tcBorders>
            <w:shd w:val="clear" w:color="auto" w:fill="F2F2F2"/>
            <w:tcMar>
              <w:top w:w="66" w:type="dxa"/>
              <w:left w:w="66" w:type="dxa"/>
              <w:bottom w:w="66" w:type="dxa"/>
              <w:right w:w="66" w:type="dxa"/>
            </w:tcMar>
            <w:vAlign w:val="center"/>
            <w:hideMark/>
          </w:tcPr>
          <w:p w14:paraId="1DAB5657"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Component</w:t>
            </w:r>
          </w:p>
        </w:tc>
        <w:tc>
          <w:tcPr>
            <w:tcW w:w="2578" w:type="dxa"/>
            <w:tcBorders>
              <w:top w:val="single" w:sz="8" w:space="0" w:color="D1D1D1"/>
              <w:left w:val="single" w:sz="8" w:space="0" w:color="D1D1D1"/>
              <w:bottom w:val="single" w:sz="8" w:space="0" w:color="747474"/>
              <w:right w:val="single" w:sz="8" w:space="0" w:color="D1D1D1"/>
            </w:tcBorders>
            <w:shd w:val="clear" w:color="auto" w:fill="F2F2F2"/>
            <w:tcMar>
              <w:top w:w="66" w:type="dxa"/>
              <w:left w:w="66" w:type="dxa"/>
              <w:bottom w:w="66" w:type="dxa"/>
              <w:right w:w="66" w:type="dxa"/>
            </w:tcMar>
            <w:vAlign w:val="center"/>
            <w:hideMark/>
          </w:tcPr>
          <w:p w14:paraId="511C02CC"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Hyperparameter</w:t>
            </w:r>
          </w:p>
        </w:tc>
        <w:tc>
          <w:tcPr>
            <w:tcW w:w="3536" w:type="dxa"/>
            <w:tcBorders>
              <w:top w:val="single" w:sz="8" w:space="0" w:color="D1D1D1"/>
              <w:left w:val="single" w:sz="8" w:space="0" w:color="D1D1D1"/>
              <w:bottom w:val="single" w:sz="8" w:space="0" w:color="747474"/>
              <w:right w:val="single" w:sz="8" w:space="0" w:color="D1D1D1"/>
            </w:tcBorders>
            <w:shd w:val="clear" w:color="auto" w:fill="F2F2F2"/>
            <w:tcMar>
              <w:top w:w="66" w:type="dxa"/>
              <w:left w:w="66" w:type="dxa"/>
              <w:bottom w:w="66" w:type="dxa"/>
              <w:right w:w="66" w:type="dxa"/>
            </w:tcMar>
            <w:vAlign w:val="center"/>
            <w:hideMark/>
          </w:tcPr>
          <w:p w14:paraId="3AA438FB"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Value</w:t>
            </w:r>
          </w:p>
        </w:tc>
      </w:tr>
      <w:tr w:rsidR="00EA1364" w:rsidRPr="008D4BDE" w14:paraId="3E85D435" w14:textId="77777777" w:rsidTr="00EA1364">
        <w:trPr>
          <w:trHeight w:val="629"/>
        </w:trPr>
        <w:tc>
          <w:tcPr>
            <w:tcW w:w="2374" w:type="dxa"/>
            <w:vMerge w:val="restart"/>
            <w:tcBorders>
              <w:top w:val="single" w:sz="8" w:space="0" w:color="747474"/>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09E4CFE6"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Training</w:t>
            </w:r>
          </w:p>
        </w:tc>
        <w:tc>
          <w:tcPr>
            <w:tcW w:w="2578" w:type="dxa"/>
            <w:tcBorders>
              <w:top w:val="single" w:sz="8" w:space="0" w:color="747474"/>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A0864DA"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Batch size</w:t>
            </w:r>
          </w:p>
        </w:tc>
        <w:tc>
          <w:tcPr>
            <w:tcW w:w="3536" w:type="dxa"/>
            <w:tcBorders>
              <w:top w:val="single" w:sz="8" w:space="0" w:color="747474"/>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F11BED0" w14:textId="1E6A01E5" w:rsidR="008D4BDE" w:rsidRPr="008D4BDE" w:rsidRDefault="008D4BDE" w:rsidP="00EA1364">
            <w:pPr>
              <w:widowControl/>
              <w:spacing w:after="0" w:line="240" w:lineRule="auto"/>
              <w:rPr>
                <w:rFonts w:ascii="Times New Roman" w:hAnsi="Times New Roman" w:cs="Times New Roman"/>
              </w:rPr>
            </w:pPr>
            <m:oMath>
              <m:r>
                <m:rPr>
                  <m:sty m:val="p"/>
                </m:rPr>
                <w:rPr>
                  <w:rFonts w:ascii="Cambria Math" w:hAnsi="Cambria Math" w:cs="Times New Roman"/>
                </w:rPr>
                <m:t>256</m:t>
              </m:r>
            </m:oMath>
            <w:r w:rsidRPr="008D4BDE">
              <w:rPr>
                <w:rFonts w:ascii="Times New Roman" w:hAnsi="Times New Roman" w:cs="Times New Roman"/>
              </w:rPr>
              <w:t xml:space="preserve"> for pre-</w:t>
            </w:r>
            <w:proofErr w:type="gramStart"/>
            <w:r w:rsidRPr="008D4BDE">
              <w:rPr>
                <w:rFonts w:ascii="Times New Roman" w:hAnsi="Times New Roman" w:cs="Times New Roman"/>
              </w:rPr>
              <w:t>training;</w:t>
            </w:r>
            <w:proofErr w:type="gramEnd"/>
          </w:p>
          <w:p w14:paraId="06D1ED36" w14:textId="427D9523" w:rsidR="008D4BDE" w:rsidRPr="008D4BDE" w:rsidRDefault="008D4BDE" w:rsidP="00EA1364">
            <w:pPr>
              <w:widowControl/>
              <w:spacing w:after="0" w:line="240" w:lineRule="auto"/>
              <w:rPr>
                <w:rFonts w:ascii="Times New Roman" w:hAnsi="Times New Roman" w:cs="Times New Roman"/>
              </w:rPr>
            </w:pPr>
            <m:oMath>
              <m:r>
                <m:rPr>
                  <m:sty m:val="p"/>
                </m:rPr>
                <w:rPr>
                  <w:rFonts w:ascii="Cambria Math" w:hAnsi="Cambria Math" w:cs="Times New Roman"/>
                </w:rPr>
                <m:t>64 </m:t>
              </m:r>
            </m:oMath>
            <w:r w:rsidRPr="008D4BDE">
              <w:rPr>
                <w:rFonts w:ascii="Times New Roman" w:hAnsi="Times New Roman" w:cs="Times New Roman"/>
              </w:rPr>
              <w:t>for fine-tuning</w:t>
            </w:r>
          </w:p>
        </w:tc>
      </w:tr>
      <w:tr w:rsidR="00EA1364" w:rsidRPr="008D4BDE" w14:paraId="5C36D410" w14:textId="77777777" w:rsidTr="00EA1364">
        <w:trPr>
          <w:trHeight w:val="360"/>
        </w:trPr>
        <w:tc>
          <w:tcPr>
            <w:tcW w:w="2374" w:type="dxa"/>
            <w:vMerge/>
            <w:tcBorders>
              <w:top w:val="single" w:sz="8" w:space="0" w:color="747474"/>
              <w:left w:val="single" w:sz="8" w:space="0" w:color="D1D1D1"/>
              <w:bottom w:val="single" w:sz="8" w:space="0" w:color="D1D1D1"/>
              <w:right w:val="single" w:sz="8" w:space="0" w:color="D1D1D1"/>
            </w:tcBorders>
            <w:vAlign w:val="center"/>
            <w:hideMark/>
          </w:tcPr>
          <w:p w14:paraId="2F2AD9CF"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9F2AAE6"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Optimizer</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0D930516" w14:textId="77777777" w:rsidR="008D4BDE" w:rsidRPr="008D4BDE" w:rsidRDefault="008D4BDE" w:rsidP="00EA1364">
            <w:pPr>
              <w:widowControl/>
              <w:spacing w:after="0" w:line="240" w:lineRule="auto"/>
              <w:rPr>
                <w:rFonts w:ascii="Times New Roman" w:hAnsi="Times New Roman" w:cs="Times New Roman"/>
              </w:rPr>
            </w:pPr>
            <w:proofErr w:type="spellStart"/>
            <w:r w:rsidRPr="008D4BDE">
              <w:rPr>
                <w:rFonts w:ascii="Times New Roman" w:hAnsi="Times New Roman" w:cs="Times New Roman"/>
              </w:rPr>
              <w:t>AdamW</w:t>
            </w:r>
            <w:proofErr w:type="spellEnd"/>
          </w:p>
        </w:tc>
      </w:tr>
      <w:tr w:rsidR="00EA1364" w:rsidRPr="008D4BDE" w14:paraId="401D2A61" w14:textId="77777777" w:rsidTr="00EA1364">
        <w:trPr>
          <w:trHeight w:val="360"/>
        </w:trPr>
        <w:tc>
          <w:tcPr>
            <w:tcW w:w="2374" w:type="dxa"/>
            <w:vMerge/>
            <w:tcBorders>
              <w:top w:val="single" w:sz="8" w:space="0" w:color="747474"/>
              <w:left w:val="single" w:sz="8" w:space="0" w:color="D1D1D1"/>
              <w:bottom w:val="single" w:sz="8" w:space="0" w:color="D1D1D1"/>
              <w:right w:val="single" w:sz="8" w:space="0" w:color="D1D1D1"/>
            </w:tcBorders>
            <w:vAlign w:val="center"/>
            <w:hideMark/>
          </w:tcPr>
          <w:p w14:paraId="3E72570F"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4382ADD8"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Weight decay</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075417AE" w14:textId="36BD4FD0"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0.01</m:t>
                </m:r>
              </m:oMath>
            </m:oMathPara>
          </w:p>
        </w:tc>
      </w:tr>
      <w:tr w:rsidR="00EA1364" w:rsidRPr="008D4BDE" w14:paraId="0107B618" w14:textId="77777777" w:rsidTr="00EA1364">
        <w:trPr>
          <w:trHeight w:val="629"/>
        </w:trPr>
        <w:tc>
          <w:tcPr>
            <w:tcW w:w="2374" w:type="dxa"/>
            <w:vMerge/>
            <w:tcBorders>
              <w:top w:val="single" w:sz="8" w:space="0" w:color="747474"/>
              <w:left w:val="single" w:sz="8" w:space="0" w:color="D1D1D1"/>
              <w:bottom w:val="single" w:sz="8" w:space="0" w:color="D1D1D1"/>
              <w:right w:val="single" w:sz="8" w:space="0" w:color="D1D1D1"/>
            </w:tcBorders>
            <w:vAlign w:val="center"/>
            <w:hideMark/>
          </w:tcPr>
          <w:p w14:paraId="39EF9F9C"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38CAEB61"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Learning rate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5BB4BB8F" w14:textId="63D7766C" w:rsidR="008D4BDE" w:rsidRPr="008D4BDE" w:rsidRDefault="008D4BDE" w:rsidP="00EA1364">
            <w:pPr>
              <w:widowControl/>
              <w:spacing w:after="0" w:line="240" w:lineRule="auto"/>
              <w:rPr>
                <w:rFonts w:ascii="Times New Roman" w:hAnsi="Times New Roman" w:cs="Times New Roman"/>
              </w:rPr>
            </w:pPr>
            <m:oMath>
              <m:r>
                <m:rPr>
                  <m:sty m:val="p"/>
                </m:rPr>
                <w:rPr>
                  <w:rFonts w:ascii="Cambria Math" w:hAnsi="Cambria Math" w:cs="Times New Roman"/>
                  <w:rtl/>
                  <w:lang w:bidi="ar-AE"/>
                </w:rPr>
                <m:t>1×</m:t>
              </m:r>
              <m:sSup>
                <m:sSupPr>
                  <m:ctrlPr>
                    <w:rPr>
                      <w:rFonts w:ascii="Cambria Math" w:hAnsi="Cambria Math" w:cs="Times New Roman"/>
                      <w:i/>
                      <w:iCs/>
                    </w:rPr>
                  </m:ctrlPr>
                </m:sSupPr>
                <m:e>
                  <m:r>
                    <m:rPr>
                      <m:sty m:val="p"/>
                    </m:rPr>
                    <w:rPr>
                      <w:rFonts w:ascii="Cambria Math" w:hAnsi="Cambria Math" w:cs="Times New Roman"/>
                      <w:rtl/>
                      <w:lang w:bidi="ar-AE"/>
                    </w:rPr>
                    <m:t>10</m:t>
                  </m:r>
                </m:e>
                <m:sup>
                  <m:r>
                    <m:rPr>
                      <m:sty m:val="p"/>
                    </m:rPr>
                    <w:rPr>
                      <w:rFonts w:ascii="Cambria Math" w:hAnsi="Cambria Math" w:cs="Times New Roman"/>
                      <w:rtl/>
                      <w:lang w:bidi="ar-AE"/>
                    </w:rPr>
                    <m:t>-4</m:t>
                  </m:r>
                </m:sup>
              </m:sSup>
            </m:oMath>
            <w:r w:rsidRPr="008D4BDE">
              <w:rPr>
                <w:rFonts w:ascii="Times New Roman" w:hAnsi="Times New Roman" w:cs="Times New Roman"/>
              </w:rPr>
              <w:t xml:space="preserve"> for pre-</w:t>
            </w:r>
            <w:proofErr w:type="gramStart"/>
            <w:r w:rsidRPr="008D4BDE">
              <w:rPr>
                <w:rFonts w:ascii="Times New Roman" w:hAnsi="Times New Roman" w:cs="Times New Roman"/>
              </w:rPr>
              <w:t>training;</w:t>
            </w:r>
            <w:proofErr w:type="gramEnd"/>
          </w:p>
          <w:p w14:paraId="3F8C3630" w14:textId="41871DE0" w:rsidR="008D4BDE" w:rsidRPr="008D4BDE" w:rsidRDefault="008D4BDE" w:rsidP="00EA1364">
            <w:pPr>
              <w:widowControl/>
              <w:spacing w:after="0" w:line="240" w:lineRule="auto"/>
              <w:rPr>
                <w:rFonts w:ascii="Times New Roman" w:hAnsi="Times New Roman" w:cs="Times New Roman"/>
              </w:rPr>
            </w:pPr>
            <m:oMath>
              <m:r>
                <m:rPr>
                  <m:sty m:val="p"/>
                </m:rPr>
                <w:rPr>
                  <w:rFonts w:ascii="Cambria Math" w:hAnsi="Cambria Math" w:cs="Times New Roman"/>
                </w:rPr>
                <m:t>1×</m:t>
              </m:r>
              <m:sSup>
                <m:sSupPr>
                  <m:ctrlPr>
                    <w:rPr>
                      <w:rFonts w:ascii="Cambria Math" w:hAnsi="Cambria Math" w:cs="Times New Roman"/>
                      <w:i/>
                      <w:iCs/>
                    </w:rPr>
                  </m:ctrlPr>
                </m:sSupPr>
                <m:e>
                  <m:r>
                    <m:rPr>
                      <m:sty m:val="p"/>
                    </m:rPr>
                    <w:rPr>
                      <w:rFonts w:ascii="Cambria Math" w:hAnsi="Cambria Math" w:cs="Times New Roman"/>
                      <w:rtl/>
                      <w:lang w:bidi="ar-AE"/>
                    </w:rPr>
                    <m:t>10</m:t>
                  </m:r>
                </m:e>
                <m:sup>
                  <m:r>
                    <m:rPr>
                      <m:sty m:val="p"/>
                    </m:rPr>
                    <w:rPr>
                      <w:rFonts w:ascii="Cambria Math" w:hAnsi="Cambria Math" w:cs="Times New Roman"/>
                      <w:rtl/>
                      <w:lang w:bidi="ar-AE"/>
                    </w:rPr>
                    <m:t>-6</m:t>
                  </m:r>
                </m:sup>
              </m:sSup>
            </m:oMath>
            <w:r w:rsidRPr="008D4BDE">
              <w:rPr>
                <w:rFonts w:ascii="Times New Roman" w:hAnsi="Times New Roman" w:cs="Times New Roman"/>
              </w:rPr>
              <w:t xml:space="preserve"> for fine-tuning</w:t>
            </w:r>
          </w:p>
        </w:tc>
      </w:tr>
      <w:tr w:rsidR="00EA1364" w:rsidRPr="008D4BDE" w14:paraId="028CFEFF" w14:textId="77777777" w:rsidTr="00EA1364">
        <w:trPr>
          <w:trHeight w:val="629"/>
        </w:trPr>
        <w:tc>
          <w:tcPr>
            <w:tcW w:w="2374" w:type="dxa"/>
            <w:vMerge/>
            <w:tcBorders>
              <w:top w:val="single" w:sz="8" w:space="0" w:color="747474"/>
              <w:left w:val="single" w:sz="8" w:space="0" w:color="D1D1D1"/>
              <w:bottom w:val="single" w:sz="8" w:space="0" w:color="D1D1D1"/>
              <w:right w:val="single" w:sz="8" w:space="0" w:color="D1D1D1"/>
            </w:tcBorders>
            <w:vAlign w:val="center"/>
            <w:hideMark/>
          </w:tcPr>
          <w:p w14:paraId="1FE1645A"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4D39BED"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Learning-rate schedule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6511A029" w14:textId="5BE6EAF8"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Linear warm-up</w:t>
            </w:r>
          </w:p>
          <w:p w14:paraId="703A2AE8"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followed by cosine annealing</w:t>
            </w:r>
          </w:p>
        </w:tc>
      </w:tr>
      <w:tr w:rsidR="00EA1364" w:rsidRPr="008D4BDE" w14:paraId="107A45AA" w14:textId="77777777" w:rsidTr="00EA1364">
        <w:trPr>
          <w:trHeight w:val="360"/>
        </w:trPr>
        <w:tc>
          <w:tcPr>
            <w:tcW w:w="2374" w:type="dxa"/>
            <w:vMerge w:val="restart"/>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761F21B9" w14:textId="3E9BEE6B" w:rsidR="008D4BDE" w:rsidRPr="008D4BDE" w:rsidRDefault="008D4BDE" w:rsidP="00EA1364">
            <w:pPr>
              <w:widowControl/>
              <w:spacing w:after="0" w:line="240" w:lineRule="auto"/>
              <w:rPr>
                <w:rFonts w:ascii="Times New Roman" w:hAnsi="Times New Roman" w:cs="Times New Roman"/>
              </w:rPr>
            </w:pPr>
            <m:oMath>
              <m:r>
                <m:rPr>
                  <m:sty m:val="p"/>
                </m:rPr>
                <w:rPr>
                  <w:rFonts w:ascii="Cambria Math" w:hAnsi="Cambria Math" w:cs="Times New Roman"/>
                </w:rPr>
                <m:t>3D</m:t>
              </m:r>
            </m:oMath>
            <w:r w:rsidR="003B6937">
              <w:rPr>
                <w:rFonts w:ascii="Times New Roman" w:hAnsi="Times New Roman" w:cs="Times New Roman"/>
              </w:rPr>
              <w:t xml:space="preserve"> </w:t>
            </w:r>
            <w:r w:rsidRPr="008D4BDE">
              <w:rPr>
                <w:rFonts w:ascii="Times New Roman" w:hAnsi="Times New Roman" w:cs="Times New Roman"/>
              </w:rPr>
              <w:t>convolutional block</w:t>
            </w: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35DB30B"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Kernel size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5CAA6890" w14:textId="12281E81" w:rsidR="008D4BDE" w:rsidRPr="008D4BDE" w:rsidRDefault="008D4BDE" w:rsidP="00EA1364">
            <w:pPr>
              <w:widowControl/>
              <w:spacing w:after="0" w:line="240" w:lineRule="auto"/>
              <w:rPr>
                <w:rFonts w:ascii="Times New Roman" w:hAnsi="Times New Roman" w:cs="Times New Roman"/>
              </w:rPr>
            </w:pPr>
            <m:oMathPara>
              <m:oMathParaPr>
                <m:jc m:val="left"/>
              </m:oMathParaPr>
              <m:oMath>
                <m:r>
                  <w:rPr>
                    <w:rFonts w:ascii="Cambria Math" w:hAnsi="Cambria Math" w:cs="Times New Roman"/>
                  </w:rPr>
                  <m:t>(x,y, t)=(2,2,2)</m:t>
                </m:r>
              </m:oMath>
            </m:oMathPara>
          </w:p>
        </w:tc>
      </w:tr>
      <w:tr w:rsidR="00EA1364" w:rsidRPr="008D4BDE" w14:paraId="1C525AEC"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3DCF4D12"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54CC7BDC"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Channels</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43B89C56" w14:textId="6ADB8A10"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32, 64, 128</m:t>
                </m:r>
              </m:oMath>
            </m:oMathPara>
          </w:p>
        </w:tc>
      </w:tr>
      <w:tr w:rsidR="00EA1364" w:rsidRPr="008D4BDE" w14:paraId="28448B1B"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1E76D4BF"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4FCC6207"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Stride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6ED97AAF" w14:textId="2661BD5D"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2</m:t>
                </m:r>
              </m:oMath>
            </m:oMathPara>
          </w:p>
        </w:tc>
      </w:tr>
      <w:tr w:rsidR="00EA1364" w:rsidRPr="008D4BDE" w14:paraId="5D3FEAD7"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68994420"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5AD77E1A"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Dropout rate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80D9CAA" w14:textId="37536279"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0.5</m:t>
                </m:r>
              </m:oMath>
            </m:oMathPara>
          </w:p>
        </w:tc>
      </w:tr>
      <w:tr w:rsidR="00EA1364" w:rsidRPr="008D4BDE" w14:paraId="6D018065"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78212613"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ABE9D4A"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Normalization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6DA4F96B"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Batch normalization</w:t>
            </w:r>
          </w:p>
        </w:tc>
      </w:tr>
      <w:tr w:rsidR="00EA1364" w:rsidRPr="008D4BDE" w14:paraId="07E93F6A"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6DA78C90"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4FC8637A"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Activation function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559D2034" w14:textId="77777777" w:rsidR="008D4BDE" w:rsidRPr="008D4BDE" w:rsidRDefault="008D4BDE" w:rsidP="00EA1364">
            <w:pPr>
              <w:widowControl/>
              <w:spacing w:after="0" w:line="240" w:lineRule="auto"/>
              <w:rPr>
                <w:rFonts w:ascii="Times New Roman" w:hAnsi="Times New Roman" w:cs="Times New Roman"/>
              </w:rPr>
            </w:pPr>
            <w:proofErr w:type="spellStart"/>
            <w:r w:rsidRPr="008D4BDE">
              <w:rPr>
                <w:rFonts w:ascii="Times New Roman" w:hAnsi="Times New Roman" w:cs="Times New Roman"/>
              </w:rPr>
              <w:t>ReLU</w:t>
            </w:r>
            <w:proofErr w:type="spellEnd"/>
          </w:p>
        </w:tc>
      </w:tr>
      <w:tr w:rsidR="00EA1364" w:rsidRPr="008D4BDE" w14:paraId="16B0ED2C" w14:textId="77777777" w:rsidTr="00EA1364">
        <w:trPr>
          <w:trHeight w:val="360"/>
        </w:trPr>
        <w:tc>
          <w:tcPr>
            <w:tcW w:w="2374" w:type="dxa"/>
            <w:vMerge w:val="restart"/>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A3274CA"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Attention block</w:t>
            </w: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CB73477"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Projection dimension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3B646CDB" w14:textId="28A97103"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4,096</m:t>
                </m:r>
              </m:oMath>
            </m:oMathPara>
          </w:p>
        </w:tc>
      </w:tr>
      <w:tr w:rsidR="00EA1364" w:rsidRPr="008D4BDE" w14:paraId="01FC0A63"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1C875BC5"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0FD8638B"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Number of heads</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7B6F9034" w14:textId="3B31633D"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16</m:t>
                </m:r>
              </m:oMath>
            </m:oMathPara>
          </w:p>
        </w:tc>
      </w:tr>
      <w:tr w:rsidR="00EA1364" w:rsidRPr="008D4BDE" w14:paraId="1A63F24E"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3D27363B"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4584D1B"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Head dimension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6A92BCDA" w14:textId="02C410DE"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256</m:t>
                </m:r>
              </m:oMath>
            </m:oMathPara>
          </w:p>
        </w:tc>
      </w:tr>
      <w:tr w:rsidR="00EA1364" w:rsidRPr="008D4BDE" w14:paraId="51821DE1"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07535E86"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245DF966"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Normalization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443572CE"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Layer normalization</w:t>
            </w:r>
          </w:p>
        </w:tc>
      </w:tr>
      <w:tr w:rsidR="00EA1364" w:rsidRPr="008D4BDE" w14:paraId="43706152"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07C120CD"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171406B5"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Activation function</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76520400" w14:textId="77777777" w:rsidR="008D4BDE" w:rsidRPr="008D4BDE" w:rsidRDefault="008D4BDE" w:rsidP="00EA1364">
            <w:pPr>
              <w:widowControl/>
              <w:spacing w:after="0" w:line="240" w:lineRule="auto"/>
              <w:rPr>
                <w:rFonts w:ascii="Times New Roman" w:hAnsi="Times New Roman" w:cs="Times New Roman"/>
              </w:rPr>
            </w:pPr>
            <w:proofErr w:type="spellStart"/>
            <w:r w:rsidRPr="008D4BDE">
              <w:rPr>
                <w:rFonts w:ascii="Times New Roman" w:hAnsi="Times New Roman" w:cs="Times New Roman"/>
              </w:rPr>
              <w:t>Softmax</w:t>
            </w:r>
            <w:proofErr w:type="spellEnd"/>
          </w:p>
        </w:tc>
      </w:tr>
      <w:tr w:rsidR="00EA1364" w:rsidRPr="008D4BDE" w14:paraId="6B5C6870" w14:textId="77777777" w:rsidTr="00EA1364">
        <w:trPr>
          <w:trHeight w:val="360"/>
        </w:trPr>
        <w:tc>
          <w:tcPr>
            <w:tcW w:w="2374" w:type="dxa"/>
            <w:vMerge/>
            <w:tcBorders>
              <w:top w:val="single" w:sz="8" w:space="0" w:color="D1D1D1"/>
              <w:left w:val="single" w:sz="8" w:space="0" w:color="D1D1D1"/>
              <w:bottom w:val="single" w:sz="8" w:space="0" w:color="D1D1D1"/>
              <w:right w:val="single" w:sz="8" w:space="0" w:color="D1D1D1"/>
            </w:tcBorders>
            <w:vAlign w:val="center"/>
            <w:hideMark/>
          </w:tcPr>
          <w:p w14:paraId="4952613A" w14:textId="77777777" w:rsidR="008D4BDE" w:rsidRPr="008D4BDE" w:rsidRDefault="008D4BDE" w:rsidP="00EA1364">
            <w:pPr>
              <w:widowControl/>
              <w:spacing w:after="0" w:line="240" w:lineRule="auto"/>
              <w:rPr>
                <w:rFonts w:ascii="Times New Roman" w:hAnsi="Times New Roman" w:cs="Times New Roman"/>
              </w:rPr>
            </w:pPr>
          </w:p>
        </w:tc>
        <w:tc>
          <w:tcPr>
            <w:tcW w:w="2578"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7868D11F" w14:textId="77777777" w:rsidR="008D4BDE" w:rsidRPr="008D4BDE" w:rsidRDefault="008D4BDE" w:rsidP="00EA1364">
            <w:pPr>
              <w:widowControl/>
              <w:spacing w:after="0" w:line="240" w:lineRule="auto"/>
              <w:rPr>
                <w:rFonts w:ascii="Times New Roman" w:hAnsi="Times New Roman" w:cs="Times New Roman"/>
              </w:rPr>
            </w:pPr>
            <w:r w:rsidRPr="008D4BDE">
              <w:rPr>
                <w:rFonts w:ascii="Times New Roman" w:hAnsi="Times New Roman" w:cs="Times New Roman"/>
              </w:rPr>
              <w:t>Dropout rate</w:t>
            </w:r>
          </w:p>
        </w:tc>
        <w:tc>
          <w:tcPr>
            <w:tcW w:w="3536" w:type="dxa"/>
            <w:tcBorders>
              <w:top w:val="single" w:sz="8" w:space="0" w:color="D1D1D1"/>
              <w:left w:val="single" w:sz="8" w:space="0" w:color="D1D1D1"/>
              <w:bottom w:val="single" w:sz="8" w:space="0" w:color="D1D1D1"/>
              <w:right w:val="single" w:sz="8" w:space="0" w:color="D1D1D1"/>
            </w:tcBorders>
            <w:shd w:val="clear" w:color="auto" w:fill="auto"/>
            <w:tcMar>
              <w:top w:w="66" w:type="dxa"/>
              <w:left w:w="66" w:type="dxa"/>
              <w:bottom w:w="66" w:type="dxa"/>
              <w:right w:w="66" w:type="dxa"/>
            </w:tcMar>
            <w:vAlign w:val="center"/>
            <w:hideMark/>
          </w:tcPr>
          <w:p w14:paraId="682B9768" w14:textId="265E6771" w:rsidR="008D4BDE" w:rsidRPr="008D4BDE" w:rsidRDefault="008D4BDE" w:rsidP="00EA1364">
            <w:pPr>
              <w:widowControl/>
              <w:spacing w:after="0" w:line="240" w:lineRule="auto"/>
              <w:rPr>
                <w:rFonts w:ascii="Times New Roman" w:hAnsi="Times New Roman" w:cs="Times New Roman"/>
              </w:rPr>
            </w:pPr>
            <m:oMathPara>
              <m:oMathParaPr>
                <m:jc m:val="left"/>
              </m:oMathParaPr>
              <m:oMath>
                <m:r>
                  <m:rPr>
                    <m:sty m:val="p"/>
                  </m:rPr>
                  <w:rPr>
                    <w:rFonts w:ascii="Cambria Math" w:hAnsi="Cambria Math" w:cs="Times New Roman"/>
                  </w:rPr>
                  <m:t>0.2</m:t>
                </m:r>
              </m:oMath>
            </m:oMathPara>
          </w:p>
        </w:tc>
      </w:tr>
    </w:tbl>
    <w:p w14:paraId="06F49362" w14:textId="3C16E994" w:rsidR="008D4BDE" w:rsidRDefault="008D4BDE">
      <w:pPr>
        <w:widowControl/>
        <w:rPr>
          <w:rFonts w:ascii="Times New Roman" w:hAnsi="Times New Roman" w:cs="Times New Roman"/>
        </w:rPr>
      </w:pPr>
    </w:p>
    <w:p w14:paraId="560BB0E0" w14:textId="77777777" w:rsidR="008D4BDE" w:rsidRDefault="008D4BDE">
      <w:pPr>
        <w:widowControl/>
        <w:rPr>
          <w:rFonts w:ascii="Times New Roman" w:hAnsi="Times New Roman" w:cs="Times New Roman"/>
        </w:rPr>
      </w:pPr>
      <w:r>
        <w:rPr>
          <w:rFonts w:ascii="Times New Roman" w:hAnsi="Times New Roman" w:cs="Times New Roman"/>
        </w:rPr>
        <w:br w:type="page"/>
      </w:r>
    </w:p>
    <w:p w14:paraId="378673D8" w14:textId="2FA53C2C" w:rsidR="002A3632" w:rsidRDefault="008D4BDE">
      <w:pPr>
        <w:widowControl/>
        <w:rPr>
          <w:rFonts w:ascii="Times New Roman" w:hAnsi="Times New Roman" w:cs="Times New Roman"/>
        </w:rPr>
      </w:pPr>
      <w:r>
        <w:rPr>
          <w:rFonts w:ascii="Times New Roman" w:hAnsi="Times New Roman" w:cs="Times New Roman"/>
          <w:noProof/>
        </w:rPr>
        <w:lastRenderedPageBreak/>
        <w:drawing>
          <wp:inline distT="0" distB="0" distL="0" distR="0" wp14:anchorId="7117FC09" wp14:editId="2BF4894C">
            <wp:extent cx="5453316" cy="1795244"/>
            <wp:effectExtent l="0" t="0" r="0" b="0"/>
            <wp:docPr id="7793584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58425" name="図 779358425"/>
                    <pic:cNvPicPr/>
                  </pic:nvPicPr>
                  <pic:blipFill>
                    <a:blip r:embed="rId9"/>
                    <a:stretch>
                      <a:fillRect/>
                    </a:stretch>
                  </pic:blipFill>
                  <pic:spPr>
                    <a:xfrm>
                      <a:off x="0" y="0"/>
                      <a:ext cx="5524487" cy="1818674"/>
                    </a:xfrm>
                    <a:prstGeom prst="rect">
                      <a:avLst/>
                    </a:prstGeom>
                  </pic:spPr>
                </pic:pic>
              </a:graphicData>
            </a:graphic>
          </wp:inline>
        </w:drawing>
      </w:r>
    </w:p>
    <w:p w14:paraId="2FC5589B" w14:textId="0BFE2384" w:rsidR="00BB5A1A" w:rsidRPr="00BB5A1A" w:rsidRDefault="00BB5A1A" w:rsidP="00BB5A1A">
      <w:pPr>
        <w:rPr>
          <w:rFonts w:ascii="Times New Roman" w:hAnsi="Times New Roman" w:cs="Times New Roman"/>
        </w:rPr>
      </w:pPr>
      <w:r w:rsidRPr="00BB5A1A">
        <w:rPr>
          <w:rFonts w:ascii="Times New Roman" w:hAnsi="Times New Roman" w:cs="Times New Roman"/>
          <w:b/>
          <w:bCs/>
        </w:rPr>
        <w:t xml:space="preserve">Supplementary Fig. 3 | Prediction of the WNPSH index. </w:t>
      </w:r>
      <w:r>
        <w:rPr>
          <w:rFonts w:ascii="Times New Roman" w:hAnsi="Times New Roman" w:cs="Times New Roman"/>
          <w:b/>
          <w:bCs/>
        </w:rPr>
        <w:br/>
      </w:r>
      <w:r w:rsidRPr="00BB5A1A">
        <w:rPr>
          <w:rFonts w:ascii="Times New Roman" w:hAnsi="Times New Roman" w:cs="Times New Roman"/>
        </w:rPr>
        <w:t>Open blue circles denote the ensemble-mean prediction (</w:t>
      </w:r>
      <m:oMath>
        <m:r>
          <w:rPr>
            <w:rFonts w:ascii="Cambria Math" w:hAnsi="Cambria Math" w:cs="Times New Roman"/>
          </w:rPr>
          <m:t>μ</m:t>
        </m:r>
      </m:oMath>
      <w:r w:rsidRPr="00BB5A1A">
        <w:rPr>
          <w:rFonts w:ascii="Times New Roman" w:hAnsi="Times New Roman" w:cs="Times New Roman"/>
        </w:rPr>
        <w:t>) from the DL model, shading denotes the predicted spread (</w:t>
      </w:r>
      <m:oMath>
        <m:r>
          <m:rPr>
            <m:sty m:val="p"/>
          </m:rPr>
          <w:rPr>
            <w:rFonts w:ascii="Cambria Math" w:hAnsi="Cambria Math" w:cs="Times New Roman"/>
          </w:rPr>
          <m:t>±1</m:t>
        </m:r>
        <m:r>
          <w:rPr>
            <w:rFonts w:ascii="Cambria Math" w:hAnsi="Cambria Math" w:cs="Times New Roman"/>
          </w:rPr>
          <m:t>σ</m:t>
        </m:r>
      </m:oMath>
      <w:r w:rsidRPr="00BB5A1A">
        <w:rPr>
          <w:rFonts w:ascii="Times New Roman" w:hAnsi="Times New Roman" w:cs="Times New Roman"/>
        </w:rPr>
        <w:t xml:space="preserve">), and the orange solid line denotes the reference based on reanalysis.​ </w:t>
      </w:r>
    </w:p>
    <w:p w14:paraId="6D45CC25" w14:textId="535BC144" w:rsidR="009C474F" w:rsidRDefault="009C474F">
      <w:pPr>
        <w:widowControl/>
        <w:rPr>
          <w:rFonts w:ascii="Times New Roman" w:hAnsi="Times New Roman" w:cs="Times New Roman"/>
        </w:rPr>
      </w:pPr>
    </w:p>
    <w:p w14:paraId="089C49D6" w14:textId="6E1C3D3C" w:rsidR="002A3632" w:rsidRDefault="00F80870" w:rsidP="003406B9">
      <w:pPr>
        <w:jc w:val="center"/>
        <w:rPr>
          <w:rFonts w:ascii="Times New Roman" w:hAnsi="Times New Roman" w:cs="Times New Roman"/>
        </w:rPr>
      </w:pPr>
      <w:r>
        <w:rPr>
          <w:rFonts w:ascii="Times New Roman" w:hAnsi="Times New Roman" w:cs="Times New Roman"/>
          <w:noProof/>
        </w:rPr>
        <w:drawing>
          <wp:inline distT="0" distB="0" distL="0" distR="0" wp14:anchorId="4C660AD3" wp14:editId="544BE04F">
            <wp:extent cx="4553147" cy="3699164"/>
            <wp:effectExtent l="0" t="0" r="0" b="0"/>
            <wp:docPr id="207116835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68357" name="図 2071168357"/>
                    <pic:cNvPicPr/>
                  </pic:nvPicPr>
                  <pic:blipFill>
                    <a:blip r:embed="rId10"/>
                    <a:stretch>
                      <a:fillRect/>
                    </a:stretch>
                  </pic:blipFill>
                  <pic:spPr>
                    <a:xfrm>
                      <a:off x="0" y="0"/>
                      <a:ext cx="4569183" cy="3712192"/>
                    </a:xfrm>
                    <a:prstGeom prst="rect">
                      <a:avLst/>
                    </a:prstGeom>
                  </pic:spPr>
                </pic:pic>
              </a:graphicData>
            </a:graphic>
          </wp:inline>
        </w:drawing>
      </w:r>
    </w:p>
    <w:p w14:paraId="4CE0195D" w14:textId="6B7C7986" w:rsidR="00F80870" w:rsidRPr="00F80870" w:rsidRDefault="00F80870" w:rsidP="00F80870">
      <w:pPr>
        <w:rPr>
          <w:rFonts w:ascii="Times New Roman" w:hAnsi="Times New Roman" w:cs="Times New Roman"/>
        </w:rPr>
      </w:pPr>
      <w:r w:rsidRPr="00F80870">
        <w:rPr>
          <w:rFonts w:ascii="Times New Roman" w:hAnsi="Times New Roman" w:cs="Times New Roman"/>
          <w:b/>
          <w:bCs/>
        </w:rPr>
        <w:t>Supplementary Fig. 4 | Lead-time dependence of forecast RMSE by event sign.</w:t>
      </w:r>
      <w:r>
        <w:rPr>
          <w:rFonts w:ascii="Times New Roman" w:hAnsi="Times New Roman" w:cs="Times New Roman"/>
        </w:rPr>
        <w:br/>
      </w:r>
      <w:r w:rsidRPr="00F80870">
        <w:rPr>
          <w:rFonts w:ascii="Times New Roman" w:hAnsi="Times New Roman" w:cs="Times New Roman"/>
        </w:rPr>
        <w:t>Red and blue lines indicate RMSE for positive and negative target events, respectively. Shading denotes the 95% confidence interval estimated from 1,000 bootstrap samples.</w:t>
      </w:r>
    </w:p>
    <w:p w14:paraId="52731AD9" w14:textId="7D483DC1" w:rsidR="00C117E8" w:rsidRDefault="00C117E8">
      <w:pPr>
        <w:widowControl/>
        <w:rPr>
          <w:rFonts w:ascii="Times New Roman" w:hAnsi="Times New Roman" w:cs="Times New Roman"/>
        </w:rPr>
      </w:pPr>
      <w:r>
        <w:rPr>
          <w:rFonts w:ascii="Times New Roman" w:hAnsi="Times New Roman" w:cs="Times New Roman"/>
        </w:rPr>
        <w:br w:type="page"/>
      </w:r>
    </w:p>
    <w:p w14:paraId="620B386D" w14:textId="50714667" w:rsidR="000671C2" w:rsidRDefault="00B43EAF" w:rsidP="003406B9">
      <w:pPr>
        <w:rPr>
          <w:rFonts w:ascii="Times New Roman" w:hAnsi="Times New Roman" w:cs="Times New Roman"/>
        </w:rPr>
      </w:pPr>
      <w:r w:rsidRPr="00B43EAF">
        <w:rPr>
          <w:rFonts w:ascii="Times New Roman" w:hAnsi="Times New Roman" w:cs="Times New Roman"/>
          <w:noProof/>
        </w:rPr>
        <w:lastRenderedPageBreak/>
        <w:drawing>
          <wp:inline distT="0" distB="0" distL="0" distR="0" wp14:anchorId="0403F586" wp14:editId="22DDE228">
            <wp:extent cx="5400040" cy="3133090"/>
            <wp:effectExtent l="0" t="0" r="0" b="3810"/>
            <wp:docPr id="16088623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62362" name=""/>
                    <pic:cNvPicPr/>
                  </pic:nvPicPr>
                  <pic:blipFill>
                    <a:blip r:embed="rId11"/>
                    <a:stretch>
                      <a:fillRect/>
                    </a:stretch>
                  </pic:blipFill>
                  <pic:spPr>
                    <a:xfrm>
                      <a:off x="0" y="0"/>
                      <a:ext cx="5400040" cy="3133090"/>
                    </a:xfrm>
                    <a:prstGeom prst="rect">
                      <a:avLst/>
                    </a:prstGeom>
                  </pic:spPr>
                </pic:pic>
              </a:graphicData>
            </a:graphic>
          </wp:inline>
        </w:drawing>
      </w:r>
      <w:r w:rsidRPr="00B43EAF">
        <w:rPr>
          <w:rFonts w:ascii="Times New Roman" w:hAnsi="Times New Roman" w:cs="Times New Roman"/>
          <w:b/>
          <w:bCs/>
        </w:rPr>
        <w:t xml:space="preserve">Supplementary Fig. 5 | </w:t>
      </w:r>
      <w:proofErr w:type="spellStart"/>
      <w:r w:rsidRPr="00B43EAF">
        <w:rPr>
          <w:rFonts w:ascii="Times New Roman" w:hAnsi="Times New Roman" w:cs="Times New Roman"/>
          <w:b/>
          <w:bCs/>
        </w:rPr>
        <w:t>Hovmöller</w:t>
      </w:r>
      <w:proofErr w:type="spellEnd"/>
      <w:r w:rsidRPr="00B43EAF">
        <w:rPr>
          <w:rFonts w:ascii="Times New Roman" w:hAnsi="Times New Roman" w:cs="Times New Roman"/>
          <w:b/>
          <w:bCs/>
        </w:rPr>
        <w:t xml:space="preserve"> diagrams of Z850 for </w:t>
      </w:r>
      <w:r w:rsidR="00050856">
        <w:rPr>
          <w:rFonts w:ascii="Times New Roman" w:hAnsi="Times New Roman" w:cs="Times New Roman"/>
          <w:b/>
          <w:bCs/>
        </w:rPr>
        <w:t xml:space="preserve">the development of </w:t>
      </w:r>
      <w:r w:rsidRPr="00B43EAF">
        <w:rPr>
          <w:rFonts w:ascii="Times New Roman" w:hAnsi="Times New Roman" w:cs="Times New Roman"/>
          <w:b/>
          <w:bCs/>
        </w:rPr>
        <w:t>the WNPSH</w:t>
      </w:r>
      <w:r w:rsidR="00050856">
        <w:rPr>
          <w:rFonts w:ascii="Times New Roman" w:hAnsi="Times New Roman" w:cs="Times New Roman"/>
          <w:b/>
          <w:bCs/>
        </w:rPr>
        <w:t xml:space="preserve"> </w:t>
      </w:r>
      <w:r w:rsidRPr="00B43EAF">
        <w:rPr>
          <w:rFonts w:ascii="Times New Roman" w:hAnsi="Times New Roman" w:cs="Times New Roman"/>
          <w:b/>
          <w:bCs/>
        </w:rPr>
        <w:t>core.</w:t>
      </w:r>
      <w:r w:rsidR="00323335">
        <w:rPr>
          <w:rFonts w:ascii="Times New Roman" w:hAnsi="Times New Roman" w:cs="Times New Roman"/>
        </w:rPr>
        <w:t xml:space="preserve"> </w:t>
      </w:r>
      <w:r w:rsidR="000671C2">
        <w:rPr>
          <w:rFonts w:ascii="Times New Roman" w:hAnsi="Times New Roman" w:cs="Times New Roman"/>
        </w:rPr>
        <w:br/>
      </w:r>
      <w:proofErr w:type="spellStart"/>
      <w:r w:rsidR="005F746B" w:rsidRPr="005F746B">
        <w:rPr>
          <w:rFonts w:ascii="Times New Roman" w:hAnsi="Times New Roman" w:cs="Times New Roman"/>
        </w:rPr>
        <w:t>Hovmöller</w:t>
      </w:r>
      <w:proofErr w:type="spellEnd"/>
      <w:r w:rsidR="005F746B" w:rsidRPr="005F746B">
        <w:rPr>
          <w:rFonts w:ascii="Times New Roman" w:hAnsi="Times New Roman" w:cs="Times New Roman"/>
        </w:rPr>
        <w:t xml:space="preserve"> diagrams of 850-hPa geopotential height anomalies averaged over 20–30°N, plotted as a function of longitude (0–180°E) and lag time (from day -14 to day 0), for positive and negative events in good and poor forecast cases.</w:t>
      </w:r>
      <w:r w:rsidR="00323335" w:rsidRPr="00323335">
        <w:rPr>
          <w:rFonts w:ascii="Times New Roman" w:hAnsi="Times New Roman" w:cs="Times New Roman"/>
        </w:rPr>
        <w:t xml:space="preserve"> </w:t>
      </w:r>
      <w:r w:rsidR="00323335" w:rsidRPr="00FB0ADE">
        <w:rPr>
          <w:rFonts w:ascii="Times New Roman" w:hAnsi="Times New Roman" w:cs="Times New Roman"/>
        </w:rPr>
        <w:t>Contours denote anomalies at intervals of 10 m</w:t>
      </w:r>
      <w:r w:rsidR="00323335" w:rsidRPr="00B43EAF">
        <w:rPr>
          <w:rFonts w:ascii="Times New Roman" w:hAnsi="Times New Roman" w:cs="Times New Roman"/>
        </w:rPr>
        <w:t>. Hatching marks regions significant at the two-sided 90% confidence level from Student’s t-tests.</w:t>
      </w:r>
    </w:p>
    <w:p w14:paraId="3BEEB555" w14:textId="336A845B" w:rsidR="003406B9" w:rsidRDefault="003406B9" w:rsidP="003406B9">
      <w:pPr>
        <w:widowControl/>
        <w:rPr>
          <w:rFonts w:ascii="Times New Roman" w:hAnsi="Times New Roman" w:cs="Times New Roman"/>
        </w:rPr>
      </w:pPr>
      <w:r>
        <w:rPr>
          <w:rFonts w:ascii="Times New Roman" w:hAnsi="Times New Roman" w:cs="Times New Roman"/>
        </w:rPr>
        <w:br w:type="page"/>
      </w:r>
    </w:p>
    <w:p w14:paraId="24C5D561" w14:textId="7C2869E3" w:rsidR="00792D0F" w:rsidRPr="00050856" w:rsidRDefault="00792D0F" w:rsidP="00050856">
      <w:r>
        <w:rPr>
          <w:rFonts w:ascii="Times New Roman" w:hAnsi="Times New Roman" w:cs="Times New Roman"/>
          <w:noProof/>
        </w:rPr>
        <w:lastRenderedPageBreak/>
        <w:drawing>
          <wp:inline distT="0" distB="0" distL="0" distR="0" wp14:anchorId="04624086" wp14:editId="5C834909">
            <wp:extent cx="5400040" cy="3127375"/>
            <wp:effectExtent l="0" t="0" r="0" b="0"/>
            <wp:docPr id="9980170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17083" name="図 998017083"/>
                    <pic:cNvPicPr/>
                  </pic:nvPicPr>
                  <pic:blipFill>
                    <a:blip r:embed="rId12"/>
                    <a:stretch>
                      <a:fillRect/>
                    </a:stretch>
                  </pic:blipFill>
                  <pic:spPr>
                    <a:xfrm>
                      <a:off x="0" y="0"/>
                      <a:ext cx="5400040" cy="3127375"/>
                    </a:xfrm>
                    <a:prstGeom prst="rect">
                      <a:avLst/>
                    </a:prstGeom>
                  </pic:spPr>
                </pic:pic>
              </a:graphicData>
            </a:graphic>
          </wp:inline>
        </w:drawing>
      </w:r>
      <w:r w:rsidRPr="00792D0F">
        <w:rPr>
          <w:rFonts w:ascii="Times New Roman" w:hAnsi="Times New Roman" w:cs="Times New Roman"/>
          <w:b/>
          <w:bCs/>
        </w:rPr>
        <w:t xml:space="preserve">Supplementary Fig. 6 | </w:t>
      </w:r>
      <w:r w:rsidR="009422A9">
        <w:rPr>
          <w:rFonts w:ascii="Times New Roman" w:hAnsi="Times New Roman" w:cs="Times New Roman"/>
          <w:b/>
          <w:bCs/>
        </w:rPr>
        <w:t xml:space="preserve">Midlatitude Z200 </w:t>
      </w:r>
      <w:proofErr w:type="spellStart"/>
      <w:r w:rsidRPr="00792D0F">
        <w:rPr>
          <w:rFonts w:ascii="Times New Roman" w:hAnsi="Times New Roman" w:cs="Times New Roman"/>
          <w:b/>
          <w:bCs/>
        </w:rPr>
        <w:t>Hovmöller</w:t>
      </w:r>
      <w:proofErr w:type="spellEnd"/>
      <w:r w:rsidRPr="00792D0F">
        <w:rPr>
          <w:rFonts w:ascii="Times New Roman" w:hAnsi="Times New Roman" w:cs="Times New Roman"/>
          <w:b/>
          <w:bCs/>
        </w:rPr>
        <w:t xml:space="preserve"> diagrams.</w:t>
      </w:r>
      <w:r w:rsidRPr="00792D0F">
        <w:rPr>
          <w:rFonts w:ascii="Times New Roman" w:hAnsi="Times New Roman" w:cs="Times New Roman"/>
        </w:rPr>
        <w:br/>
        <w:t xml:space="preserve">As in Supplementary Fig. </w:t>
      </w:r>
      <w:r>
        <w:rPr>
          <w:rFonts w:ascii="Times New Roman" w:hAnsi="Times New Roman" w:cs="Times New Roman"/>
        </w:rPr>
        <w:t>5</w:t>
      </w:r>
      <w:r w:rsidRPr="00792D0F">
        <w:rPr>
          <w:rFonts w:ascii="Times New Roman" w:hAnsi="Times New Roman" w:cs="Times New Roman"/>
        </w:rPr>
        <w:t xml:space="preserve">, but for 200-hPa geopotential height anomalies averaged over 30–40° N. </w:t>
      </w:r>
      <w:r w:rsidR="00167395" w:rsidRPr="00167395">
        <w:rPr>
          <w:rFonts w:ascii="Times New Roman" w:hAnsi="Times New Roman" w:cs="Times New Roman"/>
        </w:rPr>
        <w:t>Contours denote anomalies at intervals of 10 m (zero contour included)</w:t>
      </w:r>
      <w:r w:rsidRPr="00792D0F">
        <w:rPr>
          <w:rFonts w:ascii="Times New Roman" w:hAnsi="Times New Roman" w:cs="Times New Roman"/>
        </w:rPr>
        <w:t>.</w:t>
      </w:r>
    </w:p>
    <w:p w14:paraId="0E439F03" w14:textId="2FBDEC31" w:rsidR="00B1241B" w:rsidRPr="00B1241B" w:rsidRDefault="00B1241B" w:rsidP="00B1241B">
      <w:r>
        <w:rPr>
          <w:rFonts w:ascii="Times New Roman" w:hAnsi="Times New Roman" w:cs="Times New Roman"/>
          <w:noProof/>
        </w:rPr>
        <w:drawing>
          <wp:inline distT="0" distB="0" distL="0" distR="0" wp14:anchorId="68025931" wp14:editId="5EDE2C7B">
            <wp:extent cx="5400040" cy="3114675"/>
            <wp:effectExtent l="0" t="0" r="0" b="0"/>
            <wp:docPr id="96329066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90662" name="図 963290662"/>
                    <pic:cNvPicPr/>
                  </pic:nvPicPr>
                  <pic:blipFill>
                    <a:blip r:embed="rId13"/>
                    <a:stretch>
                      <a:fillRect/>
                    </a:stretch>
                  </pic:blipFill>
                  <pic:spPr>
                    <a:xfrm>
                      <a:off x="0" y="0"/>
                      <a:ext cx="5400040" cy="3114675"/>
                    </a:xfrm>
                    <a:prstGeom prst="rect">
                      <a:avLst/>
                    </a:prstGeom>
                  </pic:spPr>
                </pic:pic>
              </a:graphicData>
            </a:graphic>
          </wp:inline>
        </w:drawing>
      </w:r>
      <w:r w:rsidRPr="00B1241B">
        <w:rPr>
          <w:rFonts w:ascii="Times New Roman" w:hAnsi="Times New Roman" w:cs="Times New Roman"/>
          <w:b/>
          <w:bCs/>
        </w:rPr>
        <w:t xml:space="preserve">Supplementary Fig. 7 | </w:t>
      </w:r>
      <w:r w:rsidR="009422A9">
        <w:rPr>
          <w:rFonts w:ascii="Times New Roman" w:hAnsi="Times New Roman" w:cs="Times New Roman"/>
          <w:b/>
          <w:bCs/>
        </w:rPr>
        <w:t xml:space="preserve">Midlatitude V200 </w:t>
      </w:r>
      <w:proofErr w:type="spellStart"/>
      <w:r w:rsidRPr="00B1241B">
        <w:rPr>
          <w:rFonts w:ascii="Times New Roman" w:hAnsi="Times New Roman" w:cs="Times New Roman"/>
          <w:b/>
          <w:bCs/>
        </w:rPr>
        <w:t>Hovmöller</w:t>
      </w:r>
      <w:proofErr w:type="spellEnd"/>
      <w:r w:rsidRPr="00B1241B">
        <w:rPr>
          <w:rFonts w:ascii="Times New Roman" w:hAnsi="Times New Roman" w:cs="Times New Roman"/>
          <w:b/>
          <w:bCs/>
        </w:rPr>
        <w:t xml:space="preserve"> diagrams.</w:t>
      </w:r>
      <w:r>
        <w:br/>
      </w:r>
      <w:r w:rsidRPr="00B1241B">
        <w:rPr>
          <w:rFonts w:ascii="Times New Roman" w:hAnsi="Times New Roman" w:cs="Times New Roman"/>
        </w:rPr>
        <w:t xml:space="preserve">As in Supplementary Fig. </w:t>
      </w:r>
      <w:r w:rsidR="00050856">
        <w:rPr>
          <w:rFonts w:ascii="Times New Roman" w:hAnsi="Times New Roman" w:cs="Times New Roman"/>
        </w:rPr>
        <w:t>6</w:t>
      </w:r>
      <w:r w:rsidRPr="00B1241B">
        <w:rPr>
          <w:rFonts w:ascii="Times New Roman" w:hAnsi="Times New Roman" w:cs="Times New Roman"/>
        </w:rPr>
        <w:t xml:space="preserve">, but for 200-hPa meridional wind anomalies. </w:t>
      </w:r>
      <w:r w:rsidR="005229CB" w:rsidRPr="00167395">
        <w:rPr>
          <w:rFonts w:ascii="Times New Roman" w:hAnsi="Times New Roman" w:cs="Times New Roman"/>
        </w:rPr>
        <w:t>Contours denote anomalies at intervals of</w:t>
      </w:r>
      <w:r w:rsidRPr="00B1241B">
        <w:rPr>
          <w:rFonts w:ascii="Times New Roman" w:hAnsi="Times New Roman" w:cs="Times New Roman"/>
        </w:rPr>
        <w:t xml:space="preserve"> 2 ms</w:t>
      </w:r>
      <w:r w:rsidRPr="00B1241B">
        <w:rPr>
          <w:rFonts w:ascii="Times New Roman" w:hAnsi="Times New Roman" w:cs="Times New Roman"/>
          <w:vertAlign w:val="superscript"/>
        </w:rPr>
        <w:t>-1</w:t>
      </w:r>
      <w:r w:rsidRPr="00B1241B">
        <w:rPr>
          <w:rFonts w:ascii="Times New Roman" w:hAnsi="Times New Roman" w:cs="Times New Roman"/>
        </w:rPr>
        <w:t>.</w:t>
      </w:r>
    </w:p>
    <w:p w14:paraId="7B32EE89" w14:textId="35AA3A55" w:rsidR="00B1241B" w:rsidRDefault="00B1241B">
      <w:pPr>
        <w:widowControl/>
        <w:rPr>
          <w:rFonts w:ascii="Times New Roman" w:hAnsi="Times New Roman" w:cs="Times New Roman"/>
        </w:rPr>
      </w:pPr>
      <w:r>
        <w:rPr>
          <w:rFonts w:ascii="Times New Roman" w:hAnsi="Times New Roman" w:cs="Times New Roman"/>
        </w:rPr>
        <w:br w:type="page"/>
      </w:r>
    </w:p>
    <w:p w14:paraId="4F7919F1" w14:textId="360243B9" w:rsidR="0039035D" w:rsidRPr="00F96814" w:rsidRDefault="0039035D" w:rsidP="0039035D">
      <w:pPr>
        <w:rPr>
          <w:rFonts w:ascii="Times New Roman" w:hAnsi="Times New Roman" w:cs="Times New Roman"/>
          <w:b/>
          <w:bCs/>
        </w:rPr>
      </w:pPr>
      <w:r w:rsidRPr="0039035D">
        <w:rPr>
          <w:rFonts w:ascii="Times New Roman" w:hAnsi="Times New Roman" w:cs="Times New Roman"/>
          <w:noProof/>
        </w:rPr>
        <w:lastRenderedPageBreak/>
        <w:drawing>
          <wp:inline distT="0" distB="0" distL="0" distR="0" wp14:anchorId="6D97295F" wp14:editId="1288EFFF">
            <wp:extent cx="5400040" cy="4096385"/>
            <wp:effectExtent l="0" t="0" r="0" b="5715"/>
            <wp:docPr id="21345372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37279" name=""/>
                    <pic:cNvPicPr/>
                  </pic:nvPicPr>
                  <pic:blipFill>
                    <a:blip r:embed="rId14"/>
                    <a:stretch>
                      <a:fillRect/>
                    </a:stretch>
                  </pic:blipFill>
                  <pic:spPr>
                    <a:xfrm>
                      <a:off x="0" y="0"/>
                      <a:ext cx="5400040" cy="4096385"/>
                    </a:xfrm>
                    <a:prstGeom prst="rect">
                      <a:avLst/>
                    </a:prstGeom>
                  </pic:spPr>
                </pic:pic>
              </a:graphicData>
            </a:graphic>
          </wp:inline>
        </w:drawing>
      </w:r>
      <w:r>
        <w:rPr>
          <w:rFonts w:ascii="Times New Roman" w:hAnsi="Times New Roman" w:cs="Times New Roman"/>
        </w:rPr>
        <w:br/>
      </w:r>
      <w:r w:rsidRPr="0039035D">
        <w:rPr>
          <w:rFonts w:ascii="Times New Roman" w:hAnsi="Times New Roman" w:cs="Times New Roman"/>
          <w:b/>
          <w:bCs/>
        </w:rPr>
        <w:t xml:space="preserve">Supplementary Fig. 8 | </w:t>
      </w:r>
      <w:r w:rsidR="005B59DD" w:rsidRPr="005B59DD">
        <w:rPr>
          <w:rFonts w:ascii="Times New Roman" w:hAnsi="Times New Roman" w:cs="Times New Roman"/>
          <w:b/>
          <w:bCs/>
        </w:rPr>
        <w:t xml:space="preserve">Lagged composites of precursor fields for </w:t>
      </w:r>
      <w:r w:rsidR="005B59DD">
        <w:rPr>
          <w:rFonts w:ascii="Times New Roman" w:hAnsi="Times New Roman" w:cs="Times New Roman"/>
          <w:b/>
          <w:bCs/>
        </w:rPr>
        <w:t>bar</w:t>
      </w:r>
      <w:r w:rsidR="00963EF6">
        <w:rPr>
          <w:rFonts w:ascii="Times New Roman" w:hAnsi="Times New Roman" w:cs="Times New Roman"/>
          <w:b/>
          <w:bCs/>
        </w:rPr>
        <w:t>rier</w:t>
      </w:r>
      <w:r w:rsidR="00A50623">
        <w:rPr>
          <w:rFonts w:ascii="Times New Roman" w:hAnsi="Times New Roman" w:cs="Times New Roman"/>
          <w:b/>
          <w:bCs/>
        </w:rPr>
        <w:t xml:space="preserve"> </w:t>
      </w:r>
      <w:r w:rsidR="00022610">
        <w:rPr>
          <w:rFonts w:ascii="Times New Roman" w:hAnsi="Times New Roman" w:cs="Times New Roman"/>
          <w:b/>
          <w:bCs/>
        </w:rPr>
        <w:t>events</w:t>
      </w:r>
      <w:r w:rsidR="00A50623">
        <w:rPr>
          <w:rFonts w:ascii="Times New Roman" w:hAnsi="Times New Roman" w:cs="Times New Roman" w:hint="eastAsia"/>
          <w:b/>
          <w:bCs/>
        </w:rPr>
        <w:t>.</w:t>
      </w:r>
      <w:r w:rsidR="00F96814">
        <w:rPr>
          <w:rFonts w:ascii="Times New Roman" w:hAnsi="Times New Roman" w:cs="Times New Roman"/>
          <w:b/>
          <w:bCs/>
        </w:rPr>
        <w:br/>
      </w:r>
      <w:r w:rsidR="00F77B7F" w:rsidRPr="00F77B7F">
        <w:rPr>
          <w:rFonts w:ascii="Times New Roman" w:hAnsi="Times New Roman" w:cs="Times New Roman"/>
        </w:rPr>
        <w:t>Same as Fig. 4 in the main text, but for the barrier events</w:t>
      </w:r>
      <w:r w:rsidR="00902BF5" w:rsidRPr="00902BF5">
        <w:rPr>
          <w:rFonts w:ascii="Times New Roman" w:hAnsi="Times New Roman" w:cs="Times New Roman"/>
        </w:rPr>
        <w:t>, defined as cases with poor DL predictions.</w:t>
      </w:r>
    </w:p>
    <w:p w14:paraId="5E8C8CFE" w14:textId="0A3CAEDA" w:rsidR="0039035D" w:rsidRDefault="0039035D">
      <w:pPr>
        <w:widowControl/>
        <w:rPr>
          <w:rFonts w:ascii="Times New Roman" w:hAnsi="Times New Roman" w:cs="Times New Roman"/>
        </w:rPr>
      </w:pPr>
      <w:r>
        <w:rPr>
          <w:rFonts w:ascii="Times New Roman" w:hAnsi="Times New Roman" w:cs="Times New Roman"/>
        </w:rPr>
        <w:br w:type="page"/>
      </w:r>
    </w:p>
    <w:p w14:paraId="6E58CF12" w14:textId="498F364F" w:rsidR="00ED510C" w:rsidRDefault="00ED510C" w:rsidP="00ED510C">
      <w:pPr>
        <w:rPr>
          <w:rFonts w:ascii="Times New Roman" w:hAnsi="Times New Roman" w:cs="Times New Roman"/>
        </w:rPr>
      </w:pPr>
      <w:r w:rsidRPr="00ED510C">
        <w:rPr>
          <w:rFonts w:ascii="Times New Roman" w:hAnsi="Times New Roman" w:cs="Times New Roman"/>
          <w:noProof/>
        </w:rPr>
        <w:lastRenderedPageBreak/>
        <w:drawing>
          <wp:inline distT="0" distB="0" distL="0" distR="0" wp14:anchorId="38C16F5F" wp14:editId="69E36E18">
            <wp:extent cx="4853827" cy="3967992"/>
            <wp:effectExtent l="0" t="0" r="0" b="0"/>
            <wp:docPr id="15835628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62853" name=""/>
                    <pic:cNvPicPr/>
                  </pic:nvPicPr>
                  <pic:blipFill>
                    <a:blip r:embed="rId15"/>
                    <a:stretch>
                      <a:fillRect/>
                    </a:stretch>
                  </pic:blipFill>
                  <pic:spPr>
                    <a:xfrm>
                      <a:off x="0" y="0"/>
                      <a:ext cx="4862317" cy="3974933"/>
                    </a:xfrm>
                    <a:prstGeom prst="rect">
                      <a:avLst/>
                    </a:prstGeom>
                  </pic:spPr>
                </pic:pic>
              </a:graphicData>
            </a:graphic>
          </wp:inline>
        </w:drawing>
      </w:r>
      <w:r w:rsidRPr="00ED510C">
        <w:rPr>
          <w:rFonts w:ascii="Times New Roman" w:hAnsi="Times New Roman" w:cs="Times New Roman"/>
          <w:b/>
          <w:bCs/>
        </w:rPr>
        <w:t>Supplementary Fig. 9 | Lead-time dependence of predicted amplitudes for WNPSH peak events.</w:t>
      </w:r>
      <w:r>
        <w:br/>
      </w:r>
      <w:r w:rsidRPr="00ED510C">
        <w:rPr>
          <w:rFonts w:ascii="Times New Roman" w:hAnsi="Times New Roman" w:cs="Times New Roman"/>
        </w:rPr>
        <w:t>Mean signed model output is shown for positive and negative WNPSH peak events that are well predicted (circles) or poorly predicted (crosses). Red and blue denote positive and negative events, respectively. Shading indicates the 95% confidence interval estimated from 1,000 bootstrap samples.</w:t>
      </w:r>
    </w:p>
    <w:p w14:paraId="550C8922" w14:textId="4BDAEB48" w:rsidR="00ED510C" w:rsidRDefault="00ED510C">
      <w:pPr>
        <w:widowControl/>
        <w:rPr>
          <w:rFonts w:ascii="Times New Roman" w:hAnsi="Times New Roman" w:cs="Times New Roman"/>
        </w:rPr>
      </w:pPr>
      <w:r>
        <w:rPr>
          <w:rFonts w:ascii="Times New Roman" w:hAnsi="Times New Roman" w:cs="Times New Roman"/>
        </w:rPr>
        <w:br w:type="page"/>
      </w:r>
    </w:p>
    <w:p w14:paraId="29CFC93E" w14:textId="7BE92FEE" w:rsidR="007F74DC" w:rsidRPr="007F74DC" w:rsidRDefault="007F74DC" w:rsidP="00425DD9">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9264" behindDoc="0" locked="0" layoutInCell="1" allowOverlap="1" wp14:anchorId="0A1E74EA" wp14:editId="4C18DE8B">
            <wp:simplePos x="0" y="0"/>
            <wp:positionH relativeFrom="column">
              <wp:posOffset>252248</wp:posOffset>
            </wp:positionH>
            <wp:positionV relativeFrom="paragraph">
              <wp:posOffset>32507</wp:posOffset>
            </wp:positionV>
            <wp:extent cx="4867028" cy="7023538"/>
            <wp:effectExtent l="0" t="0" r="0" b="0"/>
            <wp:wrapSquare wrapText="bothSides"/>
            <wp:docPr id="64212323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23238" name="図 642123238"/>
                    <pic:cNvPicPr/>
                  </pic:nvPicPr>
                  <pic:blipFill>
                    <a:blip r:embed="rId16"/>
                    <a:stretch>
                      <a:fillRect/>
                    </a:stretch>
                  </pic:blipFill>
                  <pic:spPr>
                    <a:xfrm>
                      <a:off x="0" y="0"/>
                      <a:ext cx="4867028" cy="7023538"/>
                    </a:xfrm>
                    <a:prstGeom prst="rect">
                      <a:avLst/>
                    </a:prstGeom>
                  </pic:spPr>
                </pic:pic>
              </a:graphicData>
            </a:graphic>
            <wp14:sizeRelH relativeFrom="page">
              <wp14:pctWidth>0</wp14:pctWidth>
            </wp14:sizeRelH>
            <wp14:sizeRelV relativeFrom="page">
              <wp14:pctHeight>0</wp14:pctHeight>
            </wp14:sizeRelV>
          </wp:anchor>
        </w:drawing>
      </w:r>
      <w:r w:rsidRPr="007F74DC">
        <w:rPr>
          <w:rFonts w:ascii="Times New Roman" w:hAnsi="Times New Roman" w:cs="Times New Roman"/>
          <w:b/>
          <w:bCs/>
        </w:rPr>
        <w:t>Supplementary Fig. 10 | Integral Gradients contribution maps for the 9-day-lead model in a positive opportunity event.</w:t>
      </w:r>
      <w:r>
        <w:rPr>
          <w:rFonts w:ascii="Times New Roman" w:hAnsi="Times New Roman" w:cs="Times New Roman"/>
        </w:rPr>
        <w:br/>
      </w:r>
      <w:r w:rsidRPr="007F74DC">
        <w:rPr>
          <w:rFonts w:ascii="Times New Roman" w:hAnsi="Times New Roman" w:cs="Times New Roman"/>
        </w:rPr>
        <w:t xml:space="preserve">For each of the 11 input variables, the left and middle columns show the contributions to </w:t>
      </w:r>
      <w:r w:rsidRPr="007F74DC">
        <w:rPr>
          <w:rFonts w:ascii="Times New Roman" w:hAnsi="Times New Roman" w:cs="Times New Roman"/>
          <w:lang w:val="el-GR"/>
        </w:rPr>
        <w:t>Δ</w:t>
      </w:r>
      <w:r w:rsidRPr="007F74DC">
        <w:rPr>
          <w:rFonts w:ascii="Cambria Math" w:hAnsi="Cambria Math" w:cs="Cambria Math"/>
          <w:lang w:val="el-GR"/>
        </w:rPr>
        <w:t>𝜇</w:t>
      </w:r>
      <w:r w:rsidRPr="007F74DC">
        <w:rPr>
          <w:rFonts w:ascii="Times New Roman" w:hAnsi="Times New Roman" w:cs="Times New Roman"/>
        </w:rPr>
        <w:t xml:space="preserve"> and </w:t>
      </w:r>
      <w:r w:rsidRPr="007F74DC">
        <w:rPr>
          <w:rFonts w:ascii="Times New Roman" w:hAnsi="Times New Roman" w:cs="Times New Roman"/>
          <w:lang w:val="el-GR"/>
        </w:rPr>
        <w:t xml:space="preserve">Δ </w:t>
      </w:r>
      <w:r w:rsidRPr="007F74DC">
        <w:rPr>
          <w:rFonts w:ascii="Times New Roman" w:hAnsi="Times New Roman" w:cs="Times New Roman"/>
        </w:rPr>
        <w:t>log</w:t>
      </w:r>
      <w:r w:rsidRPr="007F74DC">
        <w:rPr>
          <w:rFonts w:ascii="Cambria Math" w:hAnsi="Cambria Math" w:cs="Cambria Math"/>
        </w:rPr>
        <w:t>𝜎</w:t>
      </w:r>
      <w:r w:rsidRPr="007F74DC">
        <w:rPr>
          <w:rFonts w:ascii="Times New Roman" w:hAnsi="Times New Roman" w:cs="Times New Roman"/>
          <w:lang w:val="el-GR"/>
        </w:rPr>
        <w:t xml:space="preserve">, </w:t>
      </w:r>
      <w:r w:rsidRPr="007F74DC">
        <w:rPr>
          <w:rFonts w:ascii="Times New Roman" w:hAnsi="Times New Roman" w:cs="Times New Roman"/>
        </w:rPr>
        <w:t>respectively, for a positive opportunity event. The right column shows the input fields.</w:t>
      </w:r>
    </w:p>
    <w:p w14:paraId="28810B77" w14:textId="32977161" w:rsidR="007F74DC" w:rsidRDefault="007F74DC">
      <w:pPr>
        <w:widowControl/>
        <w:rPr>
          <w:rFonts w:ascii="Times New Roman" w:hAnsi="Times New Roman" w:cs="Times New Roman"/>
        </w:rPr>
      </w:pPr>
      <w:r>
        <w:rPr>
          <w:rFonts w:ascii="Times New Roman" w:hAnsi="Times New Roman" w:cs="Times New Roman"/>
        </w:rPr>
        <w:br w:type="page"/>
      </w:r>
    </w:p>
    <w:p w14:paraId="1C4E0D8B" w14:textId="3B1F2281" w:rsidR="00425DD9" w:rsidRPr="00425DD9" w:rsidRDefault="00425DD9" w:rsidP="00425DD9">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0288" behindDoc="0" locked="0" layoutInCell="1" allowOverlap="1" wp14:anchorId="431E7047" wp14:editId="249FF038">
            <wp:simplePos x="0" y="0"/>
            <wp:positionH relativeFrom="column">
              <wp:posOffset>257695</wp:posOffset>
            </wp:positionH>
            <wp:positionV relativeFrom="paragraph">
              <wp:posOffset>13970</wp:posOffset>
            </wp:positionV>
            <wp:extent cx="4876800" cy="7037705"/>
            <wp:effectExtent l="0" t="0" r="0" b="0"/>
            <wp:wrapSquare wrapText="bothSides"/>
            <wp:docPr id="184044408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44080" name="図 1840444080"/>
                    <pic:cNvPicPr/>
                  </pic:nvPicPr>
                  <pic:blipFill>
                    <a:blip r:embed="rId17"/>
                    <a:stretch>
                      <a:fillRect/>
                    </a:stretch>
                  </pic:blipFill>
                  <pic:spPr>
                    <a:xfrm>
                      <a:off x="0" y="0"/>
                      <a:ext cx="4876800" cy="7037705"/>
                    </a:xfrm>
                    <a:prstGeom prst="rect">
                      <a:avLst/>
                    </a:prstGeom>
                  </pic:spPr>
                </pic:pic>
              </a:graphicData>
            </a:graphic>
            <wp14:sizeRelH relativeFrom="page">
              <wp14:pctWidth>0</wp14:pctWidth>
            </wp14:sizeRelH>
            <wp14:sizeRelV relativeFrom="page">
              <wp14:pctHeight>0</wp14:pctHeight>
            </wp14:sizeRelV>
          </wp:anchor>
        </w:drawing>
      </w:r>
      <w:r w:rsidRPr="00425DD9">
        <w:rPr>
          <w:rFonts w:ascii="Times New Roman" w:hAnsi="Times New Roman" w:cs="Times New Roman"/>
          <w:b/>
          <w:bCs/>
        </w:rPr>
        <w:t xml:space="preserve">Supplementary Fig. 11 | Same as Supplementary Fig. </w:t>
      </w:r>
      <w:r w:rsidR="00595B91">
        <w:rPr>
          <w:rFonts w:ascii="Times New Roman" w:hAnsi="Times New Roman" w:cs="Times New Roman"/>
          <w:b/>
          <w:bCs/>
        </w:rPr>
        <w:t>10</w:t>
      </w:r>
      <w:r w:rsidRPr="00425DD9">
        <w:rPr>
          <w:rFonts w:ascii="Times New Roman" w:hAnsi="Times New Roman" w:cs="Times New Roman"/>
          <w:b/>
          <w:bCs/>
        </w:rPr>
        <w:t>, but for a negative opportunity event.</w:t>
      </w:r>
    </w:p>
    <w:p w14:paraId="76E5521A" w14:textId="408DD7BE" w:rsidR="00425DD9" w:rsidRDefault="00425DD9">
      <w:pPr>
        <w:widowControl/>
        <w:rPr>
          <w:rFonts w:ascii="Times New Roman" w:hAnsi="Times New Roman" w:cs="Times New Roman"/>
        </w:rPr>
      </w:pPr>
      <w:r>
        <w:rPr>
          <w:rFonts w:ascii="Times New Roman" w:hAnsi="Times New Roman" w:cs="Times New Roman"/>
        </w:rPr>
        <w:br w:type="page"/>
      </w:r>
    </w:p>
    <w:p w14:paraId="79767629" w14:textId="067F5C18" w:rsidR="00117573" w:rsidRDefault="00117573" w:rsidP="00117573">
      <w:pPr>
        <w:rPr>
          <w:rFonts w:ascii="Times New Roman" w:hAnsi="Times New Roman" w:cs="Times New Roman"/>
        </w:rPr>
      </w:pPr>
      <w:r>
        <w:rPr>
          <w:rFonts w:ascii="Times New Roman" w:hAnsi="Times New Roman" w:cs="Times New Roman"/>
          <w:noProof/>
        </w:rPr>
        <w:lastRenderedPageBreak/>
        <w:drawing>
          <wp:inline distT="0" distB="0" distL="0" distR="0" wp14:anchorId="5C6F6905" wp14:editId="626A14F2">
            <wp:extent cx="5400040" cy="2802255"/>
            <wp:effectExtent l="0" t="0" r="0" b="4445"/>
            <wp:docPr id="210038637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86379" name="図 2100386379"/>
                    <pic:cNvPicPr/>
                  </pic:nvPicPr>
                  <pic:blipFill>
                    <a:blip r:embed="rId18"/>
                    <a:stretch>
                      <a:fillRect/>
                    </a:stretch>
                  </pic:blipFill>
                  <pic:spPr>
                    <a:xfrm>
                      <a:off x="0" y="0"/>
                      <a:ext cx="5400040" cy="2802255"/>
                    </a:xfrm>
                    <a:prstGeom prst="rect">
                      <a:avLst/>
                    </a:prstGeom>
                  </pic:spPr>
                </pic:pic>
              </a:graphicData>
            </a:graphic>
          </wp:inline>
        </w:drawing>
      </w:r>
      <w:r w:rsidRPr="00684277">
        <w:rPr>
          <w:rFonts w:ascii="Times New Roman" w:hAnsi="Times New Roman" w:cs="Times New Roman"/>
          <w:b/>
          <w:bCs/>
        </w:rPr>
        <w:t>Supplementary Fig. 12 | Lead-time evolution of the Integral Gradients heat maps for Δ</w:t>
      </w:r>
      <w:r w:rsidRPr="00684277">
        <w:rPr>
          <w:rFonts w:ascii="Cambria Math" w:hAnsi="Cambria Math" w:cs="Cambria Math"/>
          <w:b/>
          <w:bCs/>
        </w:rPr>
        <w:t>𝜇</w:t>
      </w:r>
      <w:r w:rsidRPr="00684277">
        <w:rPr>
          <w:rFonts w:ascii="Times New Roman" w:hAnsi="Times New Roman" w:cs="Times New Roman"/>
          <w:b/>
          <w:bCs/>
        </w:rPr>
        <w:t>.</w:t>
      </w:r>
      <w:r w:rsidRPr="00684277">
        <w:rPr>
          <w:rFonts w:ascii="Times New Roman" w:hAnsi="Times New Roman" w:cs="Times New Roman"/>
        </w:rPr>
        <w:br/>
      </w:r>
      <w:r w:rsidRPr="00117573">
        <w:rPr>
          <w:rFonts w:ascii="Times New Roman" w:hAnsi="Times New Roman" w:cs="Times New Roman"/>
        </w:rPr>
        <w:t>As in Fig. 5</w:t>
      </w:r>
      <w:r w:rsidR="00F77B7F">
        <w:rPr>
          <w:rFonts w:ascii="Times New Roman" w:hAnsi="Times New Roman" w:cs="Times New Roman"/>
        </w:rPr>
        <w:t xml:space="preserve"> </w:t>
      </w:r>
      <w:r w:rsidR="00F77B7F" w:rsidRPr="00F77B7F">
        <w:rPr>
          <w:rFonts w:ascii="Times New Roman" w:hAnsi="Times New Roman" w:cs="Times New Roman"/>
        </w:rPr>
        <w:t>in the main text</w:t>
      </w:r>
      <w:r w:rsidRPr="00117573">
        <w:rPr>
          <w:rFonts w:ascii="Times New Roman" w:hAnsi="Times New Roman" w:cs="Times New Roman"/>
        </w:rPr>
        <w:t>, but for lead times of 12, 9, 6 and 3 days.</w:t>
      </w:r>
    </w:p>
    <w:p w14:paraId="5B269CCF" w14:textId="77777777" w:rsidR="003406B9" w:rsidRPr="00117573" w:rsidRDefault="003406B9" w:rsidP="00117573">
      <w:pPr>
        <w:rPr>
          <w:rFonts w:ascii="Times New Roman" w:hAnsi="Times New Roman" w:cs="Times New Roman"/>
        </w:rPr>
      </w:pPr>
    </w:p>
    <w:p w14:paraId="369D05EF" w14:textId="17792903" w:rsidR="006D10F8" w:rsidRPr="00684277" w:rsidRDefault="00117573" w:rsidP="006D10F8">
      <w:pPr>
        <w:rPr>
          <w:rFonts w:ascii="Times New Roman" w:hAnsi="Times New Roman" w:cs="Times New Roman"/>
        </w:rPr>
      </w:pPr>
      <w:r>
        <w:rPr>
          <w:rFonts w:ascii="Times New Roman" w:hAnsi="Times New Roman" w:cs="Times New Roman"/>
          <w:noProof/>
        </w:rPr>
        <w:drawing>
          <wp:inline distT="0" distB="0" distL="0" distR="0" wp14:anchorId="47B20469" wp14:editId="0A4421C4">
            <wp:extent cx="5400040" cy="2802255"/>
            <wp:effectExtent l="0" t="0" r="0" b="4445"/>
            <wp:docPr id="186779919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99192" name="図 1867799192"/>
                    <pic:cNvPicPr/>
                  </pic:nvPicPr>
                  <pic:blipFill>
                    <a:blip r:embed="rId19"/>
                    <a:stretch>
                      <a:fillRect/>
                    </a:stretch>
                  </pic:blipFill>
                  <pic:spPr>
                    <a:xfrm>
                      <a:off x="0" y="0"/>
                      <a:ext cx="5400040" cy="2802255"/>
                    </a:xfrm>
                    <a:prstGeom prst="rect">
                      <a:avLst/>
                    </a:prstGeom>
                  </pic:spPr>
                </pic:pic>
              </a:graphicData>
            </a:graphic>
          </wp:inline>
        </w:drawing>
      </w:r>
      <w:r w:rsidR="006D10F8" w:rsidRPr="00684277">
        <w:rPr>
          <w:rFonts w:ascii="Times New Roman" w:hAnsi="Times New Roman" w:cs="Times New Roman"/>
          <w:b/>
          <w:bCs/>
        </w:rPr>
        <w:t>Supplementary Fig. 13 | As in Supplementary Fig. 12</w:t>
      </w:r>
      <w:r w:rsidR="00684277" w:rsidRPr="00684277">
        <w:rPr>
          <w:rFonts w:ascii="Times New Roman" w:hAnsi="Times New Roman" w:cs="Times New Roman"/>
          <w:b/>
          <w:bCs/>
        </w:rPr>
        <w:t>,</w:t>
      </w:r>
      <w:r w:rsidR="006D10F8" w:rsidRPr="00684277">
        <w:rPr>
          <w:rFonts w:ascii="Times New Roman" w:hAnsi="Times New Roman" w:cs="Times New Roman"/>
          <w:b/>
          <w:bCs/>
        </w:rPr>
        <w:t xml:space="preserve"> but for </w:t>
      </w:r>
      <w:proofErr w:type="spellStart"/>
      <w:r w:rsidR="006D10F8" w:rsidRPr="00684277">
        <w:rPr>
          <w:rFonts w:ascii="Times New Roman" w:hAnsi="Times New Roman" w:cs="Times New Roman"/>
          <w:b/>
          <w:bCs/>
        </w:rPr>
        <w:t>Δlogσ</w:t>
      </w:r>
      <w:proofErr w:type="spellEnd"/>
      <w:r w:rsidR="006D10F8" w:rsidRPr="00684277">
        <w:rPr>
          <w:rFonts w:ascii="Times New Roman" w:hAnsi="Times New Roman" w:cs="Times New Roman"/>
          <w:b/>
          <w:bCs/>
        </w:rPr>
        <w:t>.</w:t>
      </w:r>
    </w:p>
    <w:p w14:paraId="1C9A69F8" w14:textId="3B01DD59" w:rsidR="00F80870" w:rsidRPr="00425DD9" w:rsidRDefault="00F80870">
      <w:pPr>
        <w:rPr>
          <w:rFonts w:ascii="Times New Roman" w:hAnsi="Times New Roman" w:cs="Times New Roman"/>
        </w:rPr>
      </w:pPr>
    </w:p>
    <w:sectPr w:rsidR="00F80870" w:rsidRPr="00425DD9">
      <w:footerReference w:type="even" r:id="rId20"/>
      <w:footerReference w:type="default" r:id="rId2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1AD7DC" w14:textId="77777777" w:rsidR="00EC5505" w:rsidRDefault="00EC5505" w:rsidP="006D230D">
      <w:pPr>
        <w:spacing w:after="0" w:line="240" w:lineRule="auto"/>
      </w:pPr>
      <w:r>
        <w:separator/>
      </w:r>
    </w:p>
  </w:endnote>
  <w:endnote w:type="continuationSeparator" w:id="0">
    <w:p w14:paraId="5A63895B" w14:textId="77777777" w:rsidR="00EC5505" w:rsidRDefault="00EC5505" w:rsidP="006D2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e"/>
      </w:rPr>
      <w:id w:val="1883443817"/>
      <w:docPartObj>
        <w:docPartGallery w:val="Page Numbers (Bottom of Page)"/>
        <w:docPartUnique/>
      </w:docPartObj>
    </w:sdtPr>
    <w:sdtContent>
      <w:p w14:paraId="5BC006D0" w14:textId="4E29E423" w:rsidR="006D230D" w:rsidRDefault="006D230D" w:rsidP="006D230D">
        <w:pPr>
          <w:pStyle w:val="ac"/>
          <w:framePr w:wrap="none" w:vAnchor="text" w:hAnchor="margin" w:xAlign="center" w:y="1"/>
          <w:rPr>
            <w:rStyle w:val="ae"/>
          </w:rPr>
        </w:pPr>
        <w:r>
          <w:rPr>
            <w:rStyle w:val="ae"/>
          </w:rPr>
          <w:fldChar w:fldCharType="begin"/>
        </w:r>
        <w:r>
          <w:rPr>
            <w:rStyle w:val="ae"/>
          </w:rPr>
          <w:instrText xml:space="preserve"> PAGE </w:instrText>
        </w:r>
        <w:r>
          <w:rPr>
            <w:rStyle w:val="ae"/>
          </w:rPr>
          <w:fldChar w:fldCharType="end"/>
        </w:r>
      </w:p>
    </w:sdtContent>
  </w:sdt>
  <w:p w14:paraId="038D3893" w14:textId="77777777" w:rsidR="006D230D" w:rsidRDefault="006D230D" w:rsidP="006D230D">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e"/>
      </w:rPr>
      <w:id w:val="1799799582"/>
      <w:docPartObj>
        <w:docPartGallery w:val="Page Numbers (Bottom of Page)"/>
        <w:docPartUnique/>
      </w:docPartObj>
    </w:sdtPr>
    <w:sdtContent>
      <w:p w14:paraId="6B29683E" w14:textId="593E5B78" w:rsidR="006D230D" w:rsidRDefault="006D230D" w:rsidP="006D230D">
        <w:pPr>
          <w:pStyle w:val="ac"/>
          <w:framePr w:wrap="none" w:vAnchor="text" w:hAnchor="margin" w:xAlign="center" w:y="1"/>
          <w:rPr>
            <w:rStyle w:val="ae"/>
          </w:rPr>
        </w:pPr>
        <w:r>
          <w:rPr>
            <w:rStyle w:val="ae"/>
          </w:rPr>
          <w:fldChar w:fldCharType="begin"/>
        </w:r>
        <w:r>
          <w:rPr>
            <w:rStyle w:val="ae"/>
          </w:rPr>
          <w:instrText xml:space="preserve"> PAGE </w:instrText>
        </w:r>
        <w:r>
          <w:rPr>
            <w:rStyle w:val="ae"/>
          </w:rPr>
          <w:fldChar w:fldCharType="separate"/>
        </w:r>
        <w:r>
          <w:rPr>
            <w:rStyle w:val="ae"/>
            <w:noProof/>
          </w:rPr>
          <w:t>1</w:t>
        </w:r>
        <w:r>
          <w:rPr>
            <w:rStyle w:val="ae"/>
          </w:rPr>
          <w:fldChar w:fldCharType="end"/>
        </w:r>
      </w:p>
    </w:sdtContent>
  </w:sdt>
  <w:p w14:paraId="63C3D759" w14:textId="77777777" w:rsidR="006D230D" w:rsidRDefault="006D230D" w:rsidP="006D230D">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34688" w14:textId="77777777" w:rsidR="00EC5505" w:rsidRDefault="00EC5505" w:rsidP="006D230D">
      <w:pPr>
        <w:spacing w:after="0" w:line="240" w:lineRule="auto"/>
      </w:pPr>
      <w:r>
        <w:separator/>
      </w:r>
    </w:p>
  </w:footnote>
  <w:footnote w:type="continuationSeparator" w:id="0">
    <w:p w14:paraId="6146B213" w14:textId="77777777" w:rsidR="00EC5505" w:rsidRDefault="00EC5505" w:rsidP="006D230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bordersDoNotSurroundHeader/>
  <w:bordersDoNotSurroundFooter/>
  <w:proofState w:spelling="clean" w:grammar="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89B"/>
    <w:rsid w:val="00022610"/>
    <w:rsid w:val="00050856"/>
    <w:rsid w:val="000671C2"/>
    <w:rsid w:val="0007457F"/>
    <w:rsid w:val="000840A1"/>
    <w:rsid w:val="000A289B"/>
    <w:rsid w:val="000E0994"/>
    <w:rsid w:val="00117573"/>
    <w:rsid w:val="00124E00"/>
    <w:rsid w:val="00167395"/>
    <w:rsid w:val="00174FD8"/>
    <w:rsid w:val="001A7DAB"/>
    <w:rsid w:val="002550A0"/>
    <w:rsid w:val="0026579C"/>
    <w:rsid w:val="00296AED"/>
    <w:rsid w:val="002A3632"/>
    <w:rsid w:val="002B2979"/>
    <w:rsid w:val="002F4C59"/>
    <w:rsid w:val="00312544"/>
    <w:rsid w:val="00323335"/>
    <w:rsid w:val="003406B9"/>
    <w:rsid w:val="0039035D"/>
    <w:rsid w:val="003B6937"/>
    <w:rsid w:val="00425DD9"/>
    <w:rsid w:val="005229CB"/>
    <w:rsid w:val="00595B91"/>
    <w:rsid w:val="005B59DD"/>
    <w:rsid w:val="005F746B"/>
    <w:rsid w:val="00603E7C"/>
    <w:rsid w:val="00684277"/>
    <w:rsid w:val="006D10F8"/>
    <w:rsid w:val="006D1D25"/>
    <w:rsid w:val="006D230D"/>
    <w:rsid w:val="00737AB5"/>
    <w:rsid w:val="00792D0F"/>
    <w:rsid w:val="007C0D47"/>
    <w:rsid w:val="007F74DC"/>
    <w:rsid w:val="00845898"/>
    <w:rsid w:val="00851E91"/>
    <w:rsid w:val="008D4BDE"/>
    <w:rsid w:val="00902BF5"/>
    <w:rsid w:val="009422A9"/>
    <w:rsid w:val="00963EF6"/>
    <w:rsid w:val="009A3566"/>
    <w:rsid w:val="009C474F"/>
    <w:rsid w:val="00A15366"/>
    <w:rsid w:val="00A50623"/>
    <w:rsid w:val="00A657EA"/>
    <w:rsid w:val="00A704C9"/>
    <w:rsid w:val="00A71756"/>
    <w:rsid w:val="00B03B17"/>
    <w:rsid w:val="00B1241B"/>
    <w:rsid w:val="00B2518C"/>
    <w:rsid w:val="00B43EAF"/>
    <w:rsid w:val="00B47302"/>
    <w:rsid w:val="00BB5A1A"/>
    <w:rsid w:val="00C117E8"/>
    <w:rsid w:val="00D720F2"/>
    <w:rsid w:val="00D96212"/>
    <w:rsid w:val="00DA3F60"/>
    <w:rsid w:val="00DE06A9"/>
    <w:rsid w:val="00EA1364"/>
    <w:rsid w:val="00EC5505"/>
    <w:rsid w:val="00ED510C"/>
    <w:rsid w:val="00ED7F3A"/>
    <w:rsid w:val="00F77B7F"/>
    <w:rsid w:val="00F80870"/>
    <w:rsid w:val="00F96814"/>
    <w:rsid w:val="00FA46C8"/>
    <w:rsid w:val="00FB0ADE"/>
    <w:rsid w:val="00FE69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57638F7"/>
  <w15:chartTrackingRefBased/>
  <w15:docId w15:val="{C915EA18-61F8-994F-B492-9DE32B6C5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0A289B"/>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0A289B"/>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0A289B"/>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0A289B"/>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0A289B"/>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0A289B"/>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0A289B"/>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0A289B"/>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0A289B"/>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A289B"/>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0A289B"/>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0A289B"/>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0A289B"/>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0A289B"/>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0A289B"/>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0A289B"/>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0A289B"/>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0A289B"/>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0A289B"/>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0A289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A289B"/>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0A289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A289B"/>
    <w:pPr>
      <w:spacing w:before="160"/>
      <w:jc w:val="center"/>
    </w:pPr>
    <w:rPr>
      <w:i/>
      <w:iCs/>
      <w:color w:val="404040" w:themeColor="text1" w:themeTint="BF"/>
    </w:rPr>
  </w:style>
  <w:style w:type="character" w:customStyle="1" w:styleId="a8">
    <w:name w:val="引用文 (文字)"/>
    <w:basedOn w:val="a0"/>
    <w:link w:val="a7"/>
    <w:uiPriority w:val="29"/>
    <w:rsid w:val="000A289B"/>
    <w:rPr>
      <w:i/>
      <w:iCs/>
      <w:color w:val="404040" w:themeColor="text1" w:themeTint="BF"/>
    </w:rPr>
  </w:style>
  <w:style w:type="paragraph" w:styleId="a9">
    <w:name w:val="List Paragraph"/>
    <w:basedOn w:val="a"/>
    <w:uiPriority w:val="34"/>
    <w:qFormat/>
    <w:rsid w:val="000A289B"/>
    <w:pPr>
      <w:ind w:left="720"/>
      <w:contextualSpacing/>
    </w:pPr>
  </w:style>
  <w:style w:type="character" w:styleId="21">
    <w:name w:val="Intense Emphasis"/>
    <w:basedOn w:val="a0"/>
    <w:uiPriority w:val="21"/>
    <w:qFormat/>
    <w:rsid w:val="000A289B"/>
    <w:rPr>
      <w:i/>
      <w:iCs/>
      <w:color w:val="0F4761" w:themeColor="accent1" w:themeShade="BF"/>
    </w:rPr>
  </w:style>
  <w:style w:type="paragraph" w:styleId="22">
    <w:name w:val="Intense Quote"/>
    <w:basedOn w:val="a"/>
    <w:next w:val="a"/>
    <w:link w:val="23"/>
    <w:uiPriority w:val="30"/>
    <w:qFormat/>
    <w:rsid w:val="000A28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0A289B"/>
    <w:rPr>
      <w:i/>
      <w:iCs/>
      <w:color w:val="0F4761" w:themeColor="accent1" w:themeShade="BF"/>
    </w:rPr>
  </w:style>
  <w:style w:type="character" w:styleId="24">
    <w:name w:val="Intense Reference"/>
    <w:basedOn w:val="a0"/>
    <w:uiPriority w:val="32"/>
    <w:qFormat/>
    <w:rsid w:val="000A289B"/>
    <w:rPr>
      <w:b/>
      <w:bCs/>
      <w:smallCaps/>
      <w:color w:val="0F4761" w:themeColor="accent1" w:themeShade="BF"/>
      <w:spacing w:val="5"/>
    </w:rPr>
  </w:style>
  <w:style w:type="paragraph" w:styleId="Web">
    <w:name w:val="Normal (Web)"/>
    <w:basedOn w:val="a"/>
    <w:uiPriority w:val="99"/>
    <w:unhideWhenUsed/>
    <w:rsid w:val="00845898"/>
    <w:pPr>
      <w:widowControl/>
      <w:spacing w:before="100" w:beforeAutospacing="1" w:after="100" w:afterAutospacing="1" w:line="240" w:lineRule="auto"/>
    </w:pPr>
    <w:rPr>
      <w:rFonts w:ascii="Times New Roman" w:eastAsia="Times New Roman" w:hAnsi="Times New Roman" w:cs="Times New Roman"/>
      <w:kern w:val="0"/>
      <w:sz w:val="24"/>
      <w:lang w:eastAsia="zh-CN"/>
      <w14:ligatures w14:val="none"/>
    </w:rPr>
  </w:style>
  <w:style w:type="paragraph" w:customStyle="1" w:styleId="Heading3">
    <w:name w:val="Heading3"/>
    <w:basedOn w:val="a"/>
    <w:link w:val="Heading3Char"/>
    <w:qFormat/>
    <w:rsid w:val="00B47302"/>
    <w:pPr>
      <w:widowControl/>
    </w:pPr>
    <w:rPr>
      <w:rFonts w:ascii="Times New Roman" w:eastAsia="SimSun" w:hAnsi="Times New Roman" w:cs="Times New Roman"/>
      <w:kern w:val="0"/>
      <w:sz w:val="28"/>
      <w:szCs w:val="28"/>
      <w:lang w:eastAsia="en-US"/>
      <w14:ligatures w14:val="none"/>
    </w:rPr>
  </w:style>
  <w:style w:type="character" w:customStyle="1" w:styleId="Heading3Char">
    <w:name w:val="Heading3 Char"/>
    <w:basedOn w:val="a0"/>
    <w:link w:val="Heading3"/>
    <w:rsid w:val="00B47302"/>
    <w:rPr>
      <w:rFonts w:ascii="Times New Roman" w:eastAsia="SimSun" w:hAnsi="Times New Roman" w:cs="Times New Roman"/>
      <w:kern w:val="0"/>
      <w:sz w:val="28"/>
      <w:szCs w:val="28"/>
      <w:lang w:eastAsia="en-US"/>
      <w14:ligatures w14:val="none"/>
    </w:rPr>
  </w:style>
  <w:style w:type="character" w:styleId="aa">
    <w:name w:val="Hyperlink"/>
    <w:basedOn w:val="a0"/>
    <w:uiPriority w:val="99"/>
    <w:unhideWhenUsed/>
    <w:rsid w:val="0007457F"/>
    <w:rPr>
      <w:color w:val="467886" w:themeColor="hyperlink"/>
      <w:u w:val="single"/>
    </w:rPr>
  </w:style>
  <w:style w:type="character" w:styleId="ab">
    <w:name w:val="Unresolved Mention"/>
    <w:basedOn w:val="a0"/>
    <w:uiPriority w:val="99"/>
    <w:semiHidden/>
    <w:unhideWhenUsed/>
    <w:rsid w:val="0007457F"/>
    <w:rPr>
      <w:color w:val="605E5C"/>
      <w:shd w:val="clear" w:color="auto" w:fill="E1DFDD"/>
    </w:rPr>
  </w:style>
  <w:style w:type="paragraph" w:styleId="ac">
    <w:name w:val="footer"/>
    <w:basedOn w:val="a"/>
    <w:link w:val="ad"/>
    <w:uiPriority w:val="99"/>
    <w:unhideWhenUsed/>
    <w:rsid w:val="006D230D"/>
    <w:pPr>
      <w:tabs>
        <w:tab w:val="center" w:pos="4252"/>
        <w:tab w:val="right" w:pos="8504"/>
      </w:tabs>
      <w:snapToGrid w:val="0"/>
    </w:pPr>
  </w:style>
  <w:style w:type="character" w:customStyle="1" w:styleId="ad">
    <w:name w:val="フッター (文字)"/>
    <w:basedOn w:val="a0"/>
    <w:link w:val="ac"/>
    <w:uiPriority w:val="99"/>
    <w:rsid w:val="006D230D"/>
  </w:style>
  <w:style w:type="character" w:styleId="ae">
    <w:name w:val="page number"/>
    <w:basedOn w:val="a0"/>
    <w:uiPriority w:val="99"/>
    <w:semiHidden/>
    <w:unhideWhenUsed/>
    <w:rsid w:val="006D23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18946">
      <w:bodyDiv w:val="1"/>
      <w:marLeft w:val="0"/>
      <w:marRight w:val="0"/>
      <w:marTop w:val="0"/>
      <w:marBottom w:val="0"/>
      <w:divBdr>
        <w:top w:val="none" w:sz="0" w:space="0" w:color="auto"/>
        <w:left w:val="none" w:sz="0" w:space="0" w:color="auto"/>
        <w:bottom w:val="none" w:sz="0" w:space="0" w:color="auto"/>
        <w:right w:val="none" w:sz="0" w:space="0" w:color="auto"/>
      </w:divBdr>
    </w:div>
    <w:div w:id="106123441">
      <w:bodyDiv w:val="1"/>
      <w:marLeft w:val="0"/>
      <w:marRight w:val="0"/>
      <w:marTop w:val="0"/>
      <w:marBottom w:val="0"/>
      <w:divBdr>
        <w:top w:val="none" w:sz="0" w:space="0" w:color="auto"/>
        <w:left w:val="none" w:sz="0" w:space="0" w:color="auto"/>
        <w:bottom w:val="none" w:sz="0" w:space="0" w:color="auto"/>
        <w:right w:val="none" w:sz="0" w:space="0" w:color="auto"/>
      </w:divBdr>
    </w:div>
    <w:div w:id="109206344">
      <w:bodyDiv w:val="1"/>
      <w:marLeft w:val="0"/>
      <w:marRight w:val="0"/>
      <w:marTop w:val="0"/>
      <w:marBottom w:val="0"/>
      <w:divBdr>
        <w:top w:val="none" w:sz="0" w:space="0" w:color="auto"/>
        <w:left w:val="none" w:sz="0" w:space="0" w:color="auto"/>
        <w:bottom w:val="none" w:sz="0" w:space="0" w:color="auto"/>
        <w:right w:val="none" w:sz="0" w:space="0" w:color="auto"/>
      </w:divBdr>
    </w:div>
    <w:div w:id="109397745">
      <w:bodyDiv w:val="1"/>
      <w:marLeft w:val="0"/>
      <w:marRight w:val="0"/>
      <w:marTop w:val="0"/>
      <w:marBottom w:val="0"/>
      <w:divBdr>
        <w:top w:val="none" w:sz="0" w:space="0" w:color="auto"/>
        <w:left w:val="none" w:sz="0" w:space="0" w:color="auto"/>
        <w:bottom w:val="none" w:sz="0" w:space="0" w:color="auto"/>
        <w:right w:val="none" w:sz="0" w:space="0" w:color="auto"/>
      </w:divBdr>
    </w:div>
    <w:div w:id="147332483">
      <w:bodyDiv w:val="1"/>
      <w:marLeft w:val="0"/>
      <w:marRight w:val="0"/>
      <w:marTop w:val="0"/>
      <w:marBottom w:val="0"/>
      <w:divBdr>
        <w:top w:val="none" w:sz="0" w:space="0" w:color="auto"/>
        <w:left w:val="none" w:sz="0" w:space="0" w:color="auto"/>
        <w:bottom w:val="none" w:sz="0" w:space="0" w:color="auto"/>
        <w:right w:val="none" w:sz="0" w:space="0" w:color="auto"/>
      </w:divBdr>
    </w:div>
    <w:div w:id="552428988">
      <w:bodyDiv w:val="1"/>
      <w:marLeft w:val="0"/>
      <w:marRight w:val="0"/>
      <w:marTop w:val="0"/>
      <w:marBottom w:val="0"/>
      <w:divBdr>
        <w:top w:val="none" w:sz="0" w:space="0" w:color="auto"/>
        <w:left w:val="none" w:sz="0" w:space="0" w:color="auto"/>
        <w:bottom w:val="none" w:sz="0" w:space="0" w:color="auto"/>
        <w:right w:val="none" w:sz="0" w:space="0" w:color="auto"/>
      </w:divBdr>
    </w:div>
    <w:div w:id="800149586">
      <w:bodyDiv w:val="1"/>
      <w:marLeft w:val="0"/>
      <w:marRight w:val="0"/>
      <w:marTop w:val="0"/>
      <w:marBottom w:val="0"/>
      <w:divBdr>
        <w:top w:val="none" w:sz="0" w:space="0" w:color="auto"/>
        <w:left w:val="none" w:sz="0" w:space="0" w:color="auto"/>
        <w:bottom w:val="none" w:sz="0" w:space="0" w:color="auto"/>
        <w:right w:val="none" w:sz="0" w:space="0" w:color="auto"/>
      </w:divBdr>
    </w:div>
    <w:div w:id="924145132">
      <w:bodyDiv w:val="1"/>
      <w:marLeft w:val="0"/>
      <w:marRight w:val="0"/>
      <w:marTop w:val="0"/>
      <w:marBottom w:val="0"/>
      <w:divBdr>
        <w:top w:val="none" w:sz="0" w:space="0" w:color="auto"/>
        <w:left w:val="none" w:sz="0" w:space="0" w:color="auto"/>
        <w:bottom w:val="none" w:sz="0" w:space="0" w:color="auto"/>
        <w:right w:val="none" w:sz="0" w:space="0" w:color="auto"/>
      </w:divBdr>
    </w:div>
    <w:div w:id="1065223544">
      <w:bodyDiv w:val="1"/>
      <w:marLeft w:val="0"/>
      <w:marRight w:val="0"/>
      <w:marTop w:val="0"/>
      <w:marBottom w:val="0"/>
      <w:divBdr>
        <w:top w:val="none" w:sz="0" w:space="0" w:color="auto"/>
        <w:left w:val="none" w:sz="0" w:space="0" w:color="auto"/>
        <w:bottom w:val="none" w:sz="0" w:space="0" w:color="auto"/>
        <w:right w:val="none" w:sz="0" w:space="0" w:color="auto"/>
      </w:divBdr>
    </w:div>
    <w:div w:id="1290553832">
      <w:bodyDiv w:val="1"/>
      <w:marLeft w:val="0"/>
      <w:marRight w:val="0"/>
      <w:marTop w:val="0"/>
      <w:marBottom w:val="0"/>
      <w:divBdr>
        <w:top w:val="none" w:sz="0" w:space="0" w:color="auto"/>
        <w:left w:val="none" w:sz="0" w:space="0" w:color="auto"/>
        <w:bottom w:val="none" w:sz="0" w:space="0" w:color="auto"/>
        <w:right w:val="none" w:sz="0" w:space="0" w:color="auto"/>
      </w:divBdr>
    </w:div>
    <w:div w:id="1365522942">
      <w:bodyDiv w:val="1"/>
      <w:marLeft w:val="0"/>
      <w:marRight w:val="0"/>
      <w:marTop w:val="0"/>
      <w:marBottom w:val="0"/>
      <w:divBdr>
        <w:top w:val="none" w:sz="0" w:space="0" w:color="auto"/>
        <w:left w:val="none" w:sz="0" w:space="0" w:color="auto"/>
        <w:bottom w:val="none" w:sz="0" w:space="0" w:color="auto"/>
        <w:right w:val="none" w:sz="0" w:space="0" w:color="auto"/>
      </w:divBdr>
    </w:div>
    <w:div w:id="1395355394">
      <w:bodyDiv w:val="1"/>
      <w:marLeft w:val="0"/>
      <w:marRight w:val="0"/>
      <w:marTop w:val="0"/>
      <w:marBottom w:val="0"/>
      <w:divBdr>
        <w:top w:val="none" w:sz="0" w:space="0" w:color="auto"/>
        <w:left w:val="none" w:sz="0" w:space="0" w:color="auto"/>
        <w:bottom w:val="none" w:sz="0" w:space="0" w:color="auto"/>
        <w:right w:val="none" w:sz="0" w:space="0" w:color="auto"/>
      </w:divBdr>
    </w:div>
    <w:div w:id="1540895597">
      <w:bodyDiv w:val="1"/>
      <w:marLeft w:val="0"/>
      <w:marRight w:val="0"/>
      <w:marTop w:val="0"/>
      <w:marBottom w:val="0"/>
      <w:divBdr>
        <w:top w:val="none" w:sz="0" w:space="0" w:color="auto"/>
        <w:left w:val="none" w:sz="0" w:space="0" w:color="auto"/>
        <w:bottom w:val="none" w:sz="0" w:space="0" w:color="auto"/>
        <w:right w:val="none" w:sz="0" w:space="0" w:color="auto"/>
      </w:divBdr>
    </w:div>
    <w:div w:id="1674330702">
      <w:bodyDiv w:val="1"/>
      <w:marLeft w:val="0"/>
      <w:marRight w:val="0"/>
      <w:marTop w:val="0"/>
      <w:marBottom w:val="0"/>
      <w:divBdr>
        <w:top w:val="none" w:sz="0" w:space="0" w:color="auto"/>
        <w:left w:val="none" w:sz="0" w:space="0" w:color="auto"/>
        <w:bottom w:val="none" w:sz="0" w:space="0" w:color="auto"/>
        <w:right w:val="none" w:sz="0" w:space="0" w:color="auto"/>
      </w:divBdr>
    </w:div>
    <w:div w:id="1754085754">
      <w:bodyDiv w:val="1"/>
      <w:marLeft w:val="0"/>
      <w:marRight w:val="0"/>
      <w:marTop w:val="0"/>
      <w:marBottom w:val="0"/>
      <w:divBdr>
        <w:top w:val="none" w:sz="0" w:space="0" w:color="auto"/>
        <w:left w:val="none" w:sz="0" w:space="0" w:color="auto"/>
        <w:bottom w:val="none" w:sz="0" w:space="0" w:color="auto"/>
        <w:right w:val="none" w:sz="0" w:space="0" w:color="auto"/>
      </w:divBdr>
    </w:div>
    <w:div w:id="1886218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ettings" Target="settings.xml"/><Relationship Id="rId16" Type="http://schemas.openxmlformats.org/officeDocument/2006/relationships/image" Target="media/image10.emf"/><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mailto:maeda-y@aori.u-tokyo.ac.jp" TargetMode="External"/><Relationship Id="rId11" Type="http://schemas.openxmlformats.org/officeDocument/2006/relationships/image" Target="media/image5.emf"/><Relationship Id="rId5"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12</Pages>
  <Words>682</Words>
  <Characters>4072</Characters>
  <Application>Microsoft Office Word</Application>
  <DocSecurity>0</DocSecurity>
  <Lines>57</Lines>
  <Paragraphs>17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前田　優樹</dc:creator>
  <cp:keywords/>
  <dc:description/>
  <cp:lastModifiedBy>前田　優樹</cp:lastModifiedBy>
  <cp:revision>62</cp:revision>
  <dcterms:created xsi:type="dcterms:W3CDTF">2026-04-04T11:05:00Z</dcterms:created>
  <dcterms:modified xsi:type="dcterms:W3CDTF">2026-05-28T10:43:00Z</dcterms:modified>
</cp:coreProperties>
</file>