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7DE16">
      <w:pPr>
        <w:spacing w:before="0" w:after="120" w:line="312" w:lineRule="auto"/>
        <w:jc w:val="center"/>
      </w:pPr>
      <w:r>
        <w:rPr>
          <w:rFonts w:ascii="Times New Roman" w:hAnsi="Times New Roman" w:cs="Times New Roman"/>
          <w:b/>
          <w:i w:val="0"/>
          <w:sz w:val="30"/>
        </w:rPr>
        <w:t>Additional file 1: Supplementary materials</w:t>
      </w:r>
    </w:p>
    <w:p w14:paraId="22A23DC1">
      <w:pPr>
        <w:spacing w:before="0" w:after="180" w:line="312" w:lineRule="auto"/>
        <w:jc w:val="center"/>
      </w:pPr>
      <w:r>
        <w:rPr>
          <w:rFonts w:ascii="Times New Roman" w:hAnsi="Times New Roman" w:cs="Times New Roman"/>
          <w:b/>
          <w:i/>
          <w:sz w:val="24"/>
        </w:rPr>
        <w:t xml:space="preserve">Development and Psychometric Validation of the </w:t>
      </w:r>
      <w:r>
        <w:rPr>
          <w:rFonts w:hint="eastAsia" w:eastAsia="宋体" w:cs="Times New Roman"/>
          <w:b/>
          <w:i/>
          <w:sz w:val="24"/>
          <w:lang w:eastAsia="zh-CN"/>
        </w:rPr>
        <w:t>CaregiverCPP</w:t>
      </w:r>
      <w:r>
        <w:rPr>
          <w:rFonts w:ascii="Times New Roman" w:hAnsi="Times New Roman" w:cs="Times New Roman"/>
          <w:b/>
          <w:i/>
          <w:sz w:val="24"/>
        </w:rPr>
        <w:t xml:space="preserve"> Scale for Caregivers of Children With Central Precocious Puberty: A Multicenter Study in China</w:t>
      </w:r>
    </w:p>
    <w:p w14:paraId="5988F01F">
      <w:pPr>
        <w:spacing w:before="0" w:after="240" w:line="312" w:lineRule="auto"/>
        <w:jc w:val="left"/>
      </w:pPr>
      <w:r>
        <w:rPr>
          <w:rFonts w:ascii="Times New Roman" w:hAnsi="Times New Roman" w:cs="Times New Roman"/>
          <w:b w:val="0"/>
          <w:i w:val="0"/>
          <w:sz w:val="22"/>
        </w:rPr>
        <w:t xml:space="preserve">This Additional file 1 provides supplementary materials supporting the development and psychometric validation of the </w:t>
      </w:r>
      <w:r>
        <w:rPr>
          <w:rFonts w:hint="eastAsia" w:eastAsia="宋体" w:cs="Times New Roman"/>
          <w:b w:val="0"/>
          <w:i w:val="0"/>
          <w:sz w:val="22"/>
          <w:lang w:eastAsia="zh-CN"/>
        </w:rPr>
        <w:t>CaregiverCPP</w:t>
      </w:r>
      <w:r>
        <w:rPr>
          <w:rFonts w:ascii="Times New Roman" w:hAnsi="Times New Roman" w:cs="Times New Roman"/>
          <w:b w:val="0"/>
          <w:i w:val="0"/>
          <w:sz w:val="22"/>
        </w:rPr>
        <w:t>. It contains four supplementary tables (S1–S4) and eight supplementary figures (S1–S8). Tables and figures are organized by analytical theme: content validity (Table S1), exploratory factor analysis (Table S2 and Figure S1), item response theory analyses (Table S3 and Figures S2–S7), and differential item functioning (Table S4 and Figure S8).</w:t>
      </w:r>
    </w:p>
    <w:p w14:paraId="67E96F9C">
      <w:pPr>
        <w:keepNext/>
        <w:spacing w:before="240" w:after="120" w:line="312" w:lineRule="auto"/>
        <w:jc w:val="left"/>
      </w:pPr>
      <w:r>
        <w:rPr>
          <w:rFonts w:ascii="Times New Roman" w:hAnsi="Times New Roman" w:cs="Times New Roman"/>
          <w:b/>
          <w:i w:val="0"/>
          <w:sz w:val="22"/>
        </w:rPr>
        <w:t>Table S1. Summary of the Delphi expert consultation process and content validity decisions (Phase I)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3401"/>
        <w:gridCol w:w="4081"/>
        <w:gridCol w:w="3401"/>
      </w:tblGrid>
      <w:tr w14:paraId="63647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0F385E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Phase / component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D5EB62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Key principle / standard practice</w:t>
            </w:r>
          </w:p>
        </w:tc>
        <w:tc>
          <w:tcPr>
            <w:tcW w:w="4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9FFEC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Implementation in this study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A4E617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Outcome / decision</w:t>
            </w:r>
          </w:p>
        </w:tc>
      </w:tr>
      <w:tr w14:paraId="33B0A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A7C6D3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Initial item pool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6A5C3C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Integration of literature, qualitative data, and clinical input</w:t>
            </w:r>
          </w:p>
        </w:tc>
        <w:tc>
          <w:tcPr>
            <w:tcW w:w="4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A46DC2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Literature review + semi-structured caregiver interviews + expert recommendations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20B79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Initial pool: 57 items</w:t>
            </w:r>
          </w:p>
        </w:tc>
      </w:tr>
      <w:tr w14:paraId="37856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055679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Expert composition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1A9D7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Multidisciplinary coverage of target conceptual domains</w:t>
            </w:r>
          </w:p>
        </w:tc>
        <w:tc>
          <w:tcPr>
            <w:tcW w:w="4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68EFEF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10 experts: pediatric endocrinology, child health care, psychology, nursing, etc.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D61BFF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Ensured conceptual coverage and semantic applicability</w:t>
            </w:r>
          </w:p>
        </w:tc>
      </w:tr>
      <w:tr w14:paraId="08921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E9E8D2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Round 1 evaluation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E8D4A1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Dual-dimension assessment: importance and clarity</w:t>
            </w:r>
          </w:p>
        </w:tc>
        <w:tc>
          <w:tcPr>
            <w:tcW w:w="4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7DE450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Five-point Likert scale + qualitative suggestions for modification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88C13E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Items flagged for discussion based on I-CVI threshold of 0.78</w:t>
            </w:r>
          </w:p>
        </w:tc>
      </w:tr>
      <w:tr w14:paraId="1ADE7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2342E4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Round 2 consensus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04DB17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Focus on controversial items and wording consistency</w:t>
            </w:r>
          </w:p>
        </w:tc>
        <w:tc>
          <w:tcPr>
            <w:tcW w:w="4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05F64D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Online consensus meeting: item splitting, unification of voice, and refinement of wording on economic burden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224243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Item refinement and structural optimization</w:t>
            </w:r>
          </w:p>
        </w:tc>
      </w:tr>
      <w:tr w14:paraId="398A9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E875D2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Cognitive interviews &amp; intelligibility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7C6037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“Think-aloud” method to verify consistency of understanding</w:t>
            </w:r>
          </w:p>
        </w:tc>
        <w:tc>
          <w:tcPr>
            <w:tcW w:w="4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F859DA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Identified discrepancies in terminology understanding and ambiguity in frequency descriptors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759818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Added terminological annotations; clarified time frames and response reference points</w:t>
            </w:r>
          </w:p>
        </w:tc>
      </w:tr>
      <w:tr w14:paraId="4533A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96D226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Pilot version formation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B9D991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Finalized usable version prior to quantitative validation</w:t>
            </w:r>
          </w:p>
        </w:tc>
        <w:tc>
          <w:tcPr>
            <w:tcW w:w="4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5BC30E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Integration of feedback from both rounds and post-meeting revisions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FD42F4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Pilot version: 38 items (proceeded to Phase II)</w:t>
            </w:r>
          </w:p>
        </w:tc>
      </w:tr>
    </w:tbl>
    <w:p w14:paraId="1E283EE2">
      <w:pPr>
        <w:spacing w:before="80" w:after="240" w:line="312" w:lineRule="auto"/>
        <w:jc w:val="left"/>
      </w:pPr>
      <w:r>
        <w:rPr>
          <w:rFonts w:ascii="Times New Roman" w:hAnsi="Times New Roman" w:cs="Times New Roman"/>
          <w:b w:val="0"/>
          <w:i/>
          <w:sz w:val="18"/>
        </w:rPr>
        <w:t xml:space="preserve">Note. </w:t>
      </w:r>
      <w:r>
        <w:rPr>
          <w:rFonts w:ascii="Times New Roman" w:hAnsi="Times New Roman" w:cs="Times New Roman"/>
          <w:b w:val="0"/>
          <w:i w:val="0"/>
          <w:sz w:val="18"/>
        </w:rPr>
        <w:t>CVI, content validity index; I-CVI, item-content validity index.</w:t>
      </w:r>
    </w:p>
    <w:p w14:paraId="7487D6EA">
      <w:pPr>
        <w:keepNext/>
        <w:pageBreakBefore/>
        <w:spacing w:before="240" w:after="120" w:line="312" w:lineRule="auto"/>
        <w:jc w:val="left"/>
      </w:pPr>
      <w:r>
        <w:rPr>
          <w:rFonts w:ascii="Times New Roman" w:hAnsi="Times New Roman" w:cs="Times New Roman"/>
          <w:b/>
          <w:i w:val="0"/>
          <w:sz w:val="22"/>
        </w:rPr>
        <w:t xml:space="preserve">Table S2. Exploratory factor analysis: full factor loading matrix and communalities for the </w:t>
      </w:r>
      <w:r>
        <w:rPr>
          <w:rFonts w:hint="eastAsia" w:eastAsia="宋体" w:cs="Times New Roman"/>
          <w:b/>
          <w:i w:val="0"/>
          <w:sz w:val="22"/>
          <w:lang w:eastAsia="zh-CN"/>
        </w:rPr>
        <w:t>CaregiverCPP</w:t>
      </w:r>
      <w:r>
        <w:rPr>
          <w:rFonts w:ascii="Times New Roman" w:hAnsi="Times New Roman" w:cs="Times New Roman"/>
          <w:b/>
          <w:i w:val="0"/>
          <w:sz w:val="22"/>
        </w:rPr>
        <w:t xml:space="preserve"> (Sample A, n = 738)</w:t>
      </w:r>
      <w:bookmarkStart w:id="0" w:name="_GoBack"/>
      <w:bookmarkEnd w:id="0"/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133"/>
        <w:gridCol w:w="1133"/>
        <w:gridCol w:w="1133"/>
        <w:gridCol w:w="1133"/>
        <w:gridCol w:w="1133"/>
        <w:gridCol w:w="1133"/>
        <w:gridCol w:w="2040"/>
        <w:gridCol w:w="1587"/>
        <w:gridCol w:w="2381"/>
      </w:tblGrid>
      <w:tr w14:paraId="39950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2799A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Item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50B03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F1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E4DA4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F2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B3894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F3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B3856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F4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23D74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F5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8AD6B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F6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98358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Communality (h²)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44833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Primary factor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75021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Primary loading</w:t>
            </w:r>
          </w:p>
        </w:tc>
      </w:tr>
      <w:tr w14:paraId="3568E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64037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q34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C83DD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B6FDD0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23102A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01810A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EFE386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50E4E8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307D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0.67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1016A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09AE3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0.80</w:t>
            </w:r>
          </w:p>
        </w:tc>
      </w:tr>
      <w:tr w14:paraId="02290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B5ADC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q32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5786C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BCD5E3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80883E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00354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B3B833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BB6422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2FFF1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0.60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1F91E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17C76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0.76</w:t>
            </w:r>
          </w:p>
        </w:tc>
      </w:tr>
      <w:tr w14:paraId="3E44E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6F3F5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q35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116EB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499E62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0549D8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EAA20B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E75242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26F43B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6A74B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0.57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15DC4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B99DF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0.74</w:t>
            </w:r>
          </w:p>
        </w:tc>
      </w:tr>
      <w:tr w14:paraId="78410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1804A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q33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AAF29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068605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B2741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DED4D0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C2A0A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4B5734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D0E2A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0.58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AC0BE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323E8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0.71</w:t>
            </w:r>
          </w:p>
        </w:tc>
      </w:tr>
      <w:tr w14:paraId="2DDB9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B8D6A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q31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A736C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DB9A63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4D2940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2535BE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8911F3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18C46C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AA812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1E05F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FA8EB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0.71</w:t>
            </w:r>
          </w:p>
        </w:tc>
      </w:tr>
      <w:tr w14:paraId="3F406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230A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q36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D9EE1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B75BA1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28D907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4F0892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E76678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95244F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2BA9A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0.47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FBDAA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76A38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0.65</w:t>
            </w:r>
          </w:p>
        </w:tc>
      </w:tr>
      <w:tr w14:paraId="58211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D0AC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01DEC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09A96F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1C260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B795FA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26E72F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607021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E90BF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6344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9986C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0.55</w:t>
            </w:r>
          </w:p>
        </w:tc>
      </w:tr>
      <w:tr w14:paraId="0EC88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95E3C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9A09FA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56ED0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3D3E38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0AEE3F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BBAC1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D08FA8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1496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8EA37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18EF3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0.86</w:t>
            </w:r>
          </w:p>
        </w:tc>
      </w:tr>
      <w:tr w14:paraId="44494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50D2D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3F18C6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1F8B4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4D87B8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22F73E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B5CB55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AAFE69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F593C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0.68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4F8DE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AD3CF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0.82</w:t>
            </w:r>
          </w:p>
        </w:tc>
      </w:tr>
      <w:tr w14:paraId="21428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897DD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C00D29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3F4D8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745E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55F75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0C1A78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237D43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F74ED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9F1FD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C52CA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0.82</w:t>
            </w:r>
          </w:p>
        </w:tc>
      </w:tr>
      <w:tr w14:paraId="51711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95C45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D717B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BC8E3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02AAA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B898C9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32119C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068B30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0D21F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2D500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6CBF6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0.80</w:t>
            </w:r>
          </w:p>
        </w:tc>
      </w:tr>
      <w:tr w14:paraId="3C544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8321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8ACE7C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5D827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557A3C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FDF574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581208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BB188D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D2BFF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0.55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BBFEF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52112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0.73</w:t>
            </w:r>
          </w:p>
        </w:tc>
      </w:tr>
      <w:tr w14:paraId="19352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E6050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A2E487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B4804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C8439B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2F4BFB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33571F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C73C3D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10FCD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0.49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A005B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1918F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0.67</w:t>
            </w:r>
          </w:p>
        </w:tc>
      </w:tr>
      <w:tr w14:paraId="530DE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15051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1539B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02D7B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649722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CC1EC0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A67A52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60C817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F6E2E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AB4A9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E1F57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0.48</w:t>
            </w:r>
          </w:p>
        </w:tc>
      </w:tr>
      <w:tr w14:paraId="0BD70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96026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q17†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44805E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EACE15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B89091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E54BA7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366BA0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AB656F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7ACC9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0.28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21CF2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0BD82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0.28†</w:t>
            </w:r>
          </w:p>
        </w:tc>
      </w:tr>
      <w:tr w14:paraId="4E8A4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3C3CC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ED32B1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A9A02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8E83C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24AC6B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6B088A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EDED0F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C21EE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26686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33404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0.73</w:t>
            </w:r>
          </w:p>
        </w:tc>
      </w:tr>
      <w:tr w14:paraId="7F568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71243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681DA5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700046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8CC3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B67E4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967BB7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6FFD53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19768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0.59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8D195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9E44D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0.77</w:t>
            </w:r>
          </w:p>
        </w:tc>
      </w:tr>
      <w:tr w14:paraId="17E2B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26D3B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E5FB37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59D528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932BC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BF7AA2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B7CBFC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6A379A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1675F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BBEAA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2F026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0.67</w:t>
            </w:r>
          </w:p>
        </w:tc>
      </w:tr>
      <w:tr w14:paraId="4B11B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FAB5C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1AA606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414D1F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284B1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EF03AE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38BE03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062FCE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EA97A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0.45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29263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50C53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0.66</w:t>
            </w:r>
          </w:p>
        </w:tc>
      </w:tr>
      <w:tr w14:paraId="4DB88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4D7B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A5507A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EDCA73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8A6B3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E79A33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1376D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F630F3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17471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0.45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94306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DC180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0.65</w:t>
            </w:r>
          </w:p>
        </w:tc>
      </w:tr>
      <w:tr w14:paraId="345C5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F56D6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89611A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D243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9E4BE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67AE29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B17E13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2876DD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B4C12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B1904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C21F1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0.61</w:t>
            </w:r>
          </w:p>
        </w:tc>
      </w:tr>
      <w:tr w14:paraId="4807C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E1850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FBFDA2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4AA94B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E054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BC3FC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D671B7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104DE7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3F658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0.38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E4C91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BA35C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0.60</w:t>
            </w:r>
          </w:p>
        </w:tc>
      </w:tr>
      <w:tr w14:paraId="64695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C61EF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DFB927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45B39B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17D8E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A64385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01ACC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261B97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9FB81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6F840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F469D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0.54</w:t>
            </w:r>
          </w:p>
        </w:tc>
      </w:tr>
      <w:tr w14:paraId="46D12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600F9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q37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384A3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0C431F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C14933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96F05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B77A4F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224BC4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83E1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0.55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14A00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3765E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0.66</w:t>
            </w:r>
          </w:p>
        </w:tc>
      </w:tr>
      <w:tr w14:paraId="7125C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C40C7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994B1A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326A82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EBF698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A4EAB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10FC2E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0490A2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F69CF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0.50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C9674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E3AC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0.65</w:t>
            </w:r>
          </w:p>
        </w:tc>
      </w:tr>
      <w:tr w14:paraId="6C4F1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2BE14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D72E6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47F8C1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CD162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57062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481A82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ABD6A2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658C5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DC4D2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330F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0.65</w:t>
            </w:r>
          </w:p>
        </w:tc>
      </w:tr>
      <w:tr w14:paraId="611F3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05A86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D2D556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69620A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42C6E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5C8C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8FBE3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3EEAEE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58C3C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0.47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B0E65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F2283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0.61</w:t>
            </w:r>
          </w:p>
        </w:tc>
      </w:tr>
      <w:tr w14:paraId="1A0E7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08B20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q38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5EE3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AAC8BF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3F4BBB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9E514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CB7D07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18B00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85F5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0.47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216DF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DB2DA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0.48</w:t>
            </w:r>
          </w:p>
        </w:tc>
      </w:tr>
      <w:tr w14:paraId="4BCAB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9DAC6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7A9A31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95C1F7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1D85B5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AEBAD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66D1C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052046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E15AF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0.68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987B2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9E79C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0.67</w:t>
            </w:r>
          </w:p>
        </w:tc>
      </w:tr>
      <w:tr w14:paraId="23B61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15858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13B83B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AC40D6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C91094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1E9141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2E235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5134D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535EF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0.69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42B24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2B8F6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0.66</w:t>
            </w:r>
          </w:p>
        </w:tc>
      </w:tr>
      <w:tr w14:paraId="78252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619A4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112330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3936CA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71EC5A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4C925B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5ECF1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B8BC88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A958D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0.39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71D2D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0032F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0.59</w:t>
            </w:r>
          </w:p>
        </w:tc>
      </w:tr>
      <w:tr w14:paraId="7660B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AB121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8D842E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41EC41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7DE739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62C8C9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638AC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EA795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70D6B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612A1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71DC8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0.57</w:t>
            </w:r>
          </w:p>
        </w:tc>
      </w:tr>
      <w:tr w14:paraId="619B0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4009D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B32B6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FB5BC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769A20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730CF6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87E56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F0D54D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D115F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0.45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8439F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28A63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0.47</w:t>
            </w:r>
          </w:p>
        </w:tc>
      </w:tr>
      <w:tr w14:paraId="35BCF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14C02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1F99D6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407562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8A463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6D7D18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77932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6DA796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92524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0.35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2ABF6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A9F1C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0.47</w:t>
            </w:r>
          </w:p>
        </w:tc>
      </w:tr>
      <w:tr w14:paraId="6F4D5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0C4FD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4CF9FB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3A343E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71840B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4E4E98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CE981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779D1D">
            <w:pPr>
              <w:spacing w:before="0" w:after="0" w:line="276" w:lineRule="auto"/>
              <w:jc w:val="center"/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92D3F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0.38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171BF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D36D7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0.40</w:t>
            </w:r>
          </w:p>
        </w:tc>
      </w:tr>
      <w:tr w14:paraId="34FE1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052E5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46EFC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A7F038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128B8D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03DC89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E54316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3A0A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FC91F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727F3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2A200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0.63</w:t>
            </w:r>
          </w:p>
        </w:tc>
      </w:tr>
      <w:tr w14:paraId="4FFAB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1706C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420EE9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E8C60F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250DE5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661B7C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B3108F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0F072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B28D1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29A4B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5D26B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0.63</w:t>
            </w:r>
          </w:p>
        </w:tc>
      </w:tr>
      <w:tr w14:paraId="05109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4D527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q13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A13B31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22DC38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D8F736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582A91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DB5A2F">
            <w:pPr>
              <w:spacing w:before="0" w:after="0" w:line="276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6505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64DCF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0.39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880D1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601E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0.55</w:t>
            </w:r>
          </w:p>
        </w:tc>
      </w:tr>
    </w:tbl>
    <w:p w14:paraId="024EBF7D">
      <w:pPr>
        <w:spacing w:before="80" w:after="240" w:line="312" w:lineRule="auto"/>
        <w:jc w:val="left"/>
      </w:pPr>
      <w:r>
        <w:rPr>
          <w:rFonts w:ascii="Times New Roman" w:hAnsi="Times New Roman" w:cs="Times New Roman"/>
          <w:b w:val="0"/>
          <w:i/>
          <w:sz w:val="18"/>
        </w:rPr>
        <w:t xml:space="preserve">Note. </w:t>
      </w:r>
      <w:r>
        <w:rPr>
          <w:rFonts w:ascii="Times New Roman" w:hAnsi="Times New Roman" w:cs="Times New Roman"/>
          <w:b w:val="0"/>
          <w:i w:val="0"/>
          <w:sz w:val="18"/>
        </w:rPr>
        <w:t xml:space="preserve">Extraction by principal axis factoring with Promax oblique rotation. Standardized factor loadings and communalities (h²) are reported for all 38 items across the six latent factors. Loadings below 0.30 are suppressed for readability. The primary factor for each item is shown with its loading; cross-loadings ≥0.30 are displayed where present. </w:t>
      </w:r>
      <w:r>
        <w:rPr>
          <w:rFonts w:ascii="Times New Roman" w:hAnsi="Times New Roman" w:cs="Times New Roman"/>
          <w:b/>
          <w:i w:val="0"/>
          <w:sz w:val="18"/>
        </w:rPr>
        <w:t xml:space="preserve">† </w:t>
      </w:r>
      <w:r>
        <w:rPr>
          <w:rFonts w:ascii="Times New Roman" w:hAnsi="Times New Roman" w:cs="Times New Roman"/>
          <w:b w:val="0"/>
          <w:i w:val="0"/>
          <w:sz w:val="18"/>
        </w:rPr>
        <w:t>Item q17 was retained based on content validity despite a primary loading below 0.30 (see main text for rationale).</w:t>
      </w:r>
    </w:p>
    <w:p w14:paraId="7498733E">
      <w:pPr>
        <w:keepNext/>
        <w:pageBreakBefore/>
        <w:spacing w:before="160" w:after="80" w:line="312" w:lineRule="auto"/>
        <w:jc w:val="left"/>
      </w:pPr>
      <w:r>
        <w:rPr>
          <w:rFonts w:ascii="Times New Roman" w:hAnsi="Times New Roman" w:cs="Times New Roman"/>
          <w:b/>
          <w:i w:val="0"/>
          <w:sz w:val="22"/>
        </w:rPr>
        <w:t>Figure S1. Heatmap of standardized factor loadings from the exploratory factor analysis with Promax rotation (Sample A, n = 738).</w:t>
      </w:r>
    </w:p>
    <w:p w14:paraId="38876182">
      <w:pPr>
        <w:keepNext/>
        <w:spacing w:before="0" w:after="120"/>
        <w:jc w:val="center"/>
      </w:pPr>
      <w:r>
        <w:drawing>
          <wp:inline distT="0" distB="0" distL="114300" distR="114300">
            <wp:extent cx="4139565" cy="5243195"/>
            <wp:effectExtent l="0" t="0" r="13335" b="146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0000" cy="524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A90FB">
      <w:pPr>
        <w:spacing w:before="0" w:after="200" w:line="312" w:lineRule="auto"/>
        <w:jc w:val="left"/>
      </w:pPr>
      <w:r>
        <w:rPr>
          <w:rFonts w:ascii="Times New Roman" w:hAnsi="Times New Roman" w:cs="Times New Roman"/>
          <w:b w:val="0"/>
          <w:i/>
          <w:sz w:val="18"/>
        </w:rPr>
        <w:t xml:space="preserve">Note. </w:t>
      </w:r>
      <w:r>
        <w:rPr>
          <w:rFonts w:ascii="Times New Roman" w:hAnsi="Times New Roman" w:cs="Times New Roman"/>
          <w:b w:val="0"/>
          <w:i w:val="0"/>
          <w:sz w:val="18"/>
        </w:rPr>
        <w:t>Rows represent items (q1–q38) grouped by their primary factor (F1–F6); columns represent the six latent factors. Color intensity encodes the magnitude of the standardized loading; loadings below 0.30 are shown in pale shades for readability. The block-diagonal pattern visualizes the simple structure underlying the six-factor solution.</w:t>
      </w:r>
    </w:p>
    <w:p w14:paraId="214D40EF">
      <w:pPr>
        <w:keepNext/>
        <w:pageBreakBefore/>
        <w:spacing w:before="240" w:after="120" w:line="312" w:lineRule="auto"/>
        <w:jc w:val="left"/>
      </w:pPr>
      <w:r>
        <w:rPr>
          <w:rFonts w:ascii="Times New Roman" w:hAnsi="Times New Roman" w:cs="Times New Roman"/>
          <w:b/>
          <w:i w:val="0"/>
          <w:sz w:val="22"/>
        </w:rPr>
        <w:t>Table S3. Item parameter estimates from the item response theory (IRT) graded response model (GRM) (Sample A, n = 738)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5669"/>
        <w:gridCol w:w="907"/>
        <w:gridCol w:w="1133"/>
        <w:gridCol w:w="1303"/>
        <w:gridCol w:w="1303"/>
        <w:gridCol w:w="1303"/>
        <w:gridCol w:w="1303"/>
      </w:tblGrid>
      <w:tr w14:paraId="33D0C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09D21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No.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C1E57D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Item content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1EAF5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Factor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CD4E1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a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037459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b</w:t>
            </w:r>
            <w:r>
              <w:rPr>
                <w:rFonts w:ascii="Times New Roman" w:hAnsi="Times New Roman" w:cs="Times New Roman"/>
                <w:b/>
                <w:i w:val="0"/>
                <w:sz w:val="20"/>
                <w:vertAlign w:val="subscript"/>
              </w:rPr>
              <w:t>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8FCA5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b</w:t>
            </w:r>
            <w:r>
              <w:rPr>
                <w:rFonts w:ascii="Times New Roman" w:hAnsi="Times New Roman" w:cs="Times New Roman"/>
                <w:b/>
                <w:i w:val="0"/>
                <w:sz w:val="20"/>
                <w:vertAlign w:val="subscript"/>
              </w:rPr>
              <w:t>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D3FDE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b</w:t>
            </w:r>
            <w:r>
              <w:rPr>
                <w:rFonts w:ascii="Times New Roman" w:hAnsi="Times New Roman" w:cs="Times New Roman"/>
                <w:b/>
                <w:i w:val="0"/>
                <w:sz w:val="20"/>
                <w:vertAlign w:val="subscript"/>
              </w:rPr>
              <w:t>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D35183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b</w:t>
            </w:r>
            <w:r>
              <w:rPr>
                <w:rFonts w:ascii="Times New Roman" w:hAnsi="Times New Roman" w:cs="Times New Roman"/>
                <w:b/>
                <w:i w:val="0"/>
                <w:sz w:val="20"/>
                <w:vertAlign w:val="subscript"/>
              </w:rPr>
              <w:t>4</w:t>
            </w:r>
          </w:p>
        </w:tc>
      </w:tr>
      <w:tr w14:paraId="59E0B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15069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75EDE2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How well do you understand the possible causes of central precocious puberty (CPP)?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98FB6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8076D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1.97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F9341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42741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CE68C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00F5C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</w:tr>
      <w:tr w14:paraId="006A6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AA4F5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42B09B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How well do you understand how CPP is diagnosed?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FD88E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24127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1.96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798B6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-0.069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D6CB6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9A386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70039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</w:tr>
      <w:tr w14:paraId="5132B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6AC76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E7B287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Do you understand the role of “bone age” in diagnosis and treatment?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C87E4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95B0C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2.36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8B9D6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-0.127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7EB9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B1DDB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141B1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</w:tr>
      <w:tr w14:paraId="4D3C3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819D9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4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66462A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What do you consider to be the primary goal of administering GnRHa (“suppression shots”) to your child?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99A13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13857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2.24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987DC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-0.051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21B2B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D02E0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33F3F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</w:tr>
      <w:tr w14:paraId="2DD5D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44470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5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16AA3E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Aside from height, are you aware that CPP may also impact your child’s future psychological health?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D1E3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CA38E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1.89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2A27B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-0.034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4CF2C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EDDE3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2CEE0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</w:tr>
      <w:tr w14:paraId="2041C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845B1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6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F8E212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Do you understand that the main difference between types of “suppression shots” (e.g., monthly vs. quarterly) lies in injection frequency and convenience?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8D024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91EB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1.78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5AC2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-0.046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7B8DD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5EF15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00B9E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</w:tr>
      <w:tr w14:paraId="0DB46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0052B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7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87265B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Are you aware that common, mild side effects (e.g., redness or pain at the injection site) may occur during treatment?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69322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D2168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1.73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37A7D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0.042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A4BCB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C238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36E2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</w:tr>
      <w:tr w14:paraId="362B5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E7B24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8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7D75CD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Do you know the appropriate course of action if your child experiences a mild local reaction after an injection?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FD6CB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8128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1.57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25E12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-0.007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FCCA8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235DB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9A688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—</w:t>
            </w:r>
          </w:p>
        </w:tc>
      </w:tr>
      <w:tr w14:paraId="4EEC4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450E0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9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7815C7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 believe “suppression shots” are necessary for children with CPP.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BBA28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D5F81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2.79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3D84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-1.103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033C5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-0.519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4498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0.032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EB766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0.792</w:t>
            </w:r>
          </w:p>
        </w:tc>
      </w:tr>
      <w:tr w14:paraId="3F2D6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9A22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10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80EB6E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 am worried about potential unknown risks associated with the “suppression shots.”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106B7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B1D98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1.87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D9AE2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-0.620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00CC4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-0.105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20336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0.514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32448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1.167</w:t>
            </w:r>
          </w:p>
        </w:tc>
      </w:tr>
      <w:tr w14:paraId="05A9C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5223D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11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73D402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 believe the “suppression shots” are crucial for improving my child’s final height.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F5BFB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5482C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2.14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742FE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-1.062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EEC09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-0.477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FD998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0.021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0D22D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0.720</w:t>
            </w:r>
          </w:p>
        </w:tc>
      </w:tr>
      <w:tr w14:paraId="3889E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5C1B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12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EC1F9F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 feel stressed about managing the daily routine of my child’s CPP treatment (e.g., timely injections, regular check-ups).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9C500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2E2D9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1.58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BD192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-0.202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2C9AF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0.326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F4003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0.860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59DCB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1.486</w:t>
            </w:r>
          </w:p>
        </w:tc>
      </w:tr>
      <w:tr w14:paraId="7C853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1F377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13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0E2DCF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have regularly monitored and recorded changes in my child’s growth (height, weight, sexual development).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AFDA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FCDE1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2.27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AC508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-0.637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5E6FA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-0.191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CC480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0.309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7C2EC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0.878</w:t>
            </w:r>
          </w:p>
        </w:tc>
      </w:tr>
      <w:tr w14:paraId="3AC3E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190EB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14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B12EE8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have proactively sought more information about CPP via the internet or books.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B079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3B976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2.24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FBCA2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-0.456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4901E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341CB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0.436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1E81F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0.993</w:t>
            </w:r>
          </w:p>
        </w:tc>
      </w:tr>
      <w:tr w14:paraId="5BDA9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B4297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15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D44EE9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have tried to talk to my child about their condition and injections in a way they can understand.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4BC90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5D179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2.29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5F8C4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-0.628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47D36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-0.180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05842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0.294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B40DE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0.898</w:t>
            </w:r>
          </w:p>
        </w:tc>
      </w:tr>
      <w:tr w14:paraId="1A266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7B525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16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CD8203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have strictly followed the doctor’s instructions to ensure my child receives every treatment.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153AF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AD482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1.88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2717F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-0.822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0532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-0.225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C297A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0.293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A9644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0.843</w:t>
            </w:r>
          </w:p>
        </w:tc>
      </w:tr>
      <w:tr w14:paraId="3177B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0361F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17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70EAB2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felt challenged in helping my child overcome the fear of injections.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89D1C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3CA75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1.55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35C77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-0.213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1F9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0.324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B8D03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0.890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9FEB3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1.490</w:t>
            </w:r>
          </w:p>
        </w:tc>
      </w:tr>
      <w:tr w14:paraId="2B9BC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35FC9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18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C28509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felt depressed or anxious because of my child’s condition.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7477F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9194C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1.78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A9A7E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-0.292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661D2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0.240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9994E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0.787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2DEF7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1.410</w:t>
            </w:r>
          </w:p>
        </w:tc>
      </w:tr>
      <w:tr w14:paraId="4DED0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B0B8E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19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540A95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have discussed this matter deeply with others because of my child’s condition.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ADA87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DC8CF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1.51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6C1F4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-0.120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851F5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0.399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8DE90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0.955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CB477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1.576</w:t>
            </w:r>
          </w:p>
        </w:tc>
      </w:tr>
      <w:tr w14:paraId="730B4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DC193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20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2FA252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felt that family life was affected by my child’s condition.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C9DAA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19993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1.86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9413C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-0.462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D9E86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0.041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3E736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0.534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404E8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1.091</w:t>
            </w:r>
          </w:p>
        </w:tc>
      </w:tr>
      <w:tr w14:paraId="6342E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3A200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21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0C71C1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was very worried that my child’s final height would not be ideal.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A488F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21BBF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2.14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2020C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-0.642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030F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-0.162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47417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0.313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7810D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0.851</w:t>
            </w:r>
          </w:p>
        </w:tc>
      </w:tr>
      <w:tr w14:paraId="4C23F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FACE3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22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9CB844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was very worried about unknown long-term side effects of the treatment.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1D0B5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42782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2.27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30EA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-0.711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C00F4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-0.226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4D639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0.265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1A06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0.813</w:t>
            </w:r>
          </w:p>
        </w:tc>
      </w:tr>
      <w:tr w14:paraId="10427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1E19C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23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2313B8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was very worried that my child would be bullied or isolated at school due to early development.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AA3D4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E5925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2.11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5103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-0.566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0F32F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-0.082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18150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0.409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6A6AA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0.986</w:t>
            </w:r>
          </w:p>
        </w:tc>
      </w:tr>
      <w:tr w14:paraId="3C321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BCB0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24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ED89C7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was very worried that my child is not psychologically prepared for premature development.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B22FA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BDC23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2.22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50847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-0.649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5ECE3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-0.162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E042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0.325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071B0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0.890</w:t>
            </w:r>
          </w:p>
        </w:tc>
      </w:tr>
      <w:tr w14:paraId="662BB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D5D6B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25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51E396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Expenses for various tests (e.g., ultrasound, bone age, labs, MRI) are a significant expenditure for my family.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4C7AC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75652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1.70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84710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-0.930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21491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-0.372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8403F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0.180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5A62A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0.774</w:t>
            </w:r>
          </w:p>
        </w:tc>
      </w:tr>
      <w:tr w14:paraId="58562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DFD0B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26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768633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Travel and accommodation costs for frequent hospital visits place an extra economic strain on my family.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6F9C9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E58EC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1.88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3B55C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-0.438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434F9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0.085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A238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0.576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EA5A0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1.091</w:t>
            </w:r>
          </w:p>
        </w:tc>
      </w:tr>
      <w:tr w14:paraId="2C954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985BC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27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869AEA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 feel the total cost of treating my child’s condition exceeds my family’s financial capacity.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27543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1331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1.71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4D885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-0.096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98247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0.421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16ED4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0.937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F5DA0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1.513</w:t>
            </w:r>
          </w:p>
        </w:tc>
      </w:tr>
      <w:tr w14:paraId="5EF71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877D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28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6784CB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Ability to effectively control the child’s sexual development.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4E47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B142A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1.61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4D16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-1.190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683AA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-0.585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FD94B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-0.020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31AFA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0.583</w:t>
            </w:r>
          </w:p>
        </w:tc>
      </w:tr>
      <w:tr w14:paraId="20D55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B099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29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90A84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Maximizing improvement in the child’s future height.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73085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9BABF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1.58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F45E0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-1.303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2991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-0.643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28DB5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-0.071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FDA4D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0.547</w:t>
            </w:r>
          </w:p>
        </w:tc>
      </w:tr>
      <w:tr w14:paraId="4C6BD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79FCD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30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00EFE9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The likelihood of treatment causing weight gain.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80592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E07CE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1.64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1724F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-0.440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EFD23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0.096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3D345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0.621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90D8A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1.146</w:t>
            </w:r>
          </w:p>
        </w:tc>
      </w:tr>
      <w:tr w14:paraId="06966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38F47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31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33B08C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The type and probability of potential side effects (e.g., local site reactions).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6509A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8F426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1.60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DC88F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-0.778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B18E8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-0.203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81C3B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0.329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7B9A8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0.917</w:t>
            </w:r>
          </w:p>
        </w:tc>
      </w:tr>
      <w:tr w14:paraId="3E74F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E7C80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32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84D21F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Ability to minimize the frequency of hospital visits.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34E93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16C5B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1.76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1E39D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-1.079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A77FA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-0.514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0E952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0.051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1E8DA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0.634</w:t>
            </w:r>
          </w:p>
        </w:tc>
      </w:tr>
      <w:tr w14:paraId="59ED9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2E41F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33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D44F15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Minimal interference with daily activities like school and sports.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857EC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1D8D4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1.67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97939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-0.874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DFC1A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-0.333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E157C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0.201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CA688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0.772</w:t>
            </w:r>
          </w:p>
        </w:tc>
      </w:tr>
      <w:tr w14:paraId="40C25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69B92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34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DEC87A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Lower injection frequency (e.g., every three months vs. monthly).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2BD73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692FE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1.77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41817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-0.872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A9BEE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-0.322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AC24F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0.205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61B7C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0.754</w:t>
            </w:r>
          </w:p>
        </w:tc>
      </w:tr>
      <w:tr w14:paraId="445ED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C18F2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35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7B8F12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The child’s level of fear regarding different injection methods.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1E78B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8C6D0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1.63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0E644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-0.471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9BD7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0.055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E4AFD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0.568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69459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1.142</w:t>
            </w:r>
          </w:p>
        </w:tc>
      </w:tr>
      <w:tr w14:paraId="0327C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443AB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36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E0F89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Which treatment regimen has lower costs.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C7EE2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8BF9B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1.60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01776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-0.435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B523A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0.095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13150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0.614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453A5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1.145</w:t>
            </w:r>
          </w:p>
        </w:tc>
      </w:tr>
      <w:tr w14:paraId="2C8A7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73F0B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37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389F4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The doctor’s professional recommendation.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529F5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39F78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1.72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F8830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-1.231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C55D9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-0.593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8C93F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0.021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765E1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0.630</w:t>
            </w:r>
          </w:p>
        </w:tc>
      </w:tr>
      <w:tr w14:paraId="0BCBD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28D95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38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90ABCC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Alignment between injection frequency and check-up frequency.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2CCD3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F4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D154E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1.63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9BCB3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-0.919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A0441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-0.343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77A91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0.206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392AA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0.784</w:t>
            </w:r>
          </w:p>
        </w:tc>
      </w:tr>
    </w:tbl>
    <w:p w14:paraId="421859AB">
      <w:pPr>
        <w:spacing w:before="80" w:after="240" w:line="312" w:lineRule="auto"/>
        <w:jc w:val="left"/>
      </w:pPr>
      <w:r>
        <w:rPr>
          <w:rFonts w:ascii="Times New Roman" w:hAnsi="Times New Roman" w:cs="Times New Roman"/>
          <w:b w:val="0"/>
          <w:i/>
          <w:sz w:val="18"/>
        </w:rPr>
        <w:t xml:space="preserve">Note. </w:t>
      </w:r>
      <w:r>
        <w:rPr>
          <w:rFonts w:ascii="Times New Roman" w:hAnsi="Times New Roman" w:cs="Times New Roman"/>
          <w:b w:val="0"/>
          <w:i w:val="0"/>
          <w:sz w:val="18"/>
        </w:rPr>
        <w:t>a, discrimination parameter; b₁–b₄, threshold parameters (number varies by response categories per item; em dashes indicate non-applicable values). Parameters were estimated using the graded response model (GRM), with the latent trait θ standardized (mean = 0, SD = 1). Items 1–8 (F3, disease-knowledge) were estimated under a dichotomous-equivalent specification, hence only b₁ is reported.</w:t>
      </w:r>
    </w:p>
    <w:p w14:paraId="0BC0EADD">
      <w:pPr>
        <w:keepNext/>
        <w:pageBreakBefore/>
        <w:spacing w:before="160" w:after="80" w:line="312" w:lineRule="auto"/>
        <w:jc w:val="left"/>
      </w:pPr>
      <w:r>
        <w:rPr>
          <w:rFonts w:ascii="Times New Roman" w:hAnsi="Times New Roman" w:cs="Times New Roman"/>
          <w:b/>
          <w:i w:val="0"/>
          <w:sz w:val="22"/>
        </w:rPr>
        <w:t>Figure S2. Information functions from the graded response model (GRM) for Factor 1 (Treatment burden &amp; convenience).</w:t>
      </w:r>
    </w:p>
    <w:p w14:paraId="4399EB7D">
      <w:pPr>
        <w:keepNext/>
        <w:spacing w:before="0" w:after="120"/>
        <w:jc w:val="center"/>
      </w:pPr>
      <w:r>
        <w:drawing>
          <wp:inline distT="0" distB="0" distL="114300" distR="114300">
            <wp:extent cx="6479540" cy="3368040"/>
            <wp:effectExtent l="0" t="0" r="165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36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E500F">
      <w:pPr>
        <w:spacing w:before="0" w:after="200" w:line="312" w:lineRule="auto"/>
        <w:jc w:val="left"/>
      </w:pPr>
      <w:r>
        <w:rPr>
          <w:rFonts w:ascii="Times New Roman" w:hAnsi="Times New Roman" w:cs="Times New Roman"/>
          <w:b w:val="0"/>
          <w:i/>
          <w:sz w:val="18"/>
        </w:rPr>
        <w:t xml:space="preserve">Note. </w:t>
      </w:r>
      <w:r>
        <w:rPr>
          <w:rFonts w:ascii="Times New Roman" w:hAnsi="Times New Roman" w:cs="Times New Roman"/>
          <w:b w:val="0"/>
          <w:i w:val="0"/>
          <w:sz w:val="18"/>
        </w:rPr>
        <w:t>(A) Test information function (TIF) for Factor 1. The x-axis represents the latent trait level (θ); the y-axis represents the magnitude of test information. (B) Item information functions (IIFs) for items in this factor (q30–q36); curves correspond to the item numbers indicated in the legend. Information is primarily concentrated in the intermediate range of θ, indicating optimal measurement precision at mild-to-moderate levels of the latent trait.</w:t>
      </w:r>
    </w:p>
    <w:p w14:paraId="4207ACAA">
      <w:pPr>
        <w:keepNext/>
        <w:pageBreakBefore/>
        <w:spacing w:before="160" w:after="80" w:line="312" w:lineRule="auto"/>
        <w:jc w:val="left"/>
      </w:pPr>
      <w:r>
        <w:rPr>
          <w:rFonts w:ascii="Times New Roman" w:hAnsi="Times New Roman" w:cs="Times New Roman"/>
          <w:b/>
          <w:i w:val="0"/>
          <w:sz w:val="22"/>
        </w:rPr>
        <w:t>Figure S3. Information functions from the GRM for Factor 2 (Psychosocial &amp; daily-life impact).</w:t>
      </w:r>
    </w:p>
    <w:p w14:paraId="18AB2DE1">
      <w:pPr>
        <w:keepNext/>
        <w:spacing w:before="0" w:after="120"/>
        <w:jc w:val="center"/>
      </w:pPr>
      <w:r>
        <w:drawing>
          <wp:inline distT="0" distB="0" distL="114300" distR="114300">
            <wp:extent cx="6479540" cy="3326765"/>
            <wp:effectExtent l="0" t="0" r="165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32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26E04">
      <w:pPr>
        <w:spacing w:before="0" w:after="200" w:line="312" w:lineRule="auto"/>
        <w:jc w:val="left"/>
      </w:pPr>
      <w:r>
        <w:rPr>
          <w:rFonts w:ascii="Times New Roman" w:hAnsi="Times New Roman" w:cs="Times New Roman"/>
          <w:b w:val="0"/>
          <w:i/>
          <w:sz w:val="18"/>
        </w:rPr>
        <w:t xml:space="preserve">Note. </w:t>
      </w:r>
      <w:r>
        <w:rPr>
          <w:rFonts w:ascii="Times New Roman" w:hAnsi="Times New Roman" w:cs="Times New Roman"/>
          <w:b w:val="0"/>
          <w:i w:val="0"/>
          <w:sz w:val="18"/>
        </w:rPr>
        <w:t>Panels and conventions as in Figure S2. IIFs are shown for items q17–q24.</w:t>
      </w:r>
    </w:p>
    <w:p w14:paraId="63A9283E">
      <w:pPr>
        <w:keepNext/>
        <w:pageBreakBefore/>
        <w:spacing w:before="160" w:after="80" w:line="312" w:lineRule="auto"/>
        <w:jc w:val="left"/>
      </w:pPr>
      <w:r>
        <w:rPr>
          <w:rFonts w:ascii="Times New Roman" w:hAnsi="Times New Roman" w:cs="Times New Roman"/>
          <w:b/>
          <w:i w:val="0"/>
          <w:sz w:val="22"/>
        </w:rPr>
        <w:t>Figure S4. Information functions from the GRM for Factor 3 (Disease knowledge &amp; understanding).</w:t>
      </w:r>
    </w:p>
    <w:p w14:paraId="7B56DC9F">
      <w:pPr>
        <w:keepNext/>
        <w:spacing w:before="0" w:after="120"/>
        <w:jc w:val="center"/>
      </w:pPr>
      <w:r>
        <w:drawing>
          <wp:inline distT="0" distB="0" distL="114300" distR="114300">
            <wp:extent cx="6479540" cy="3368040"/>
            <wp:effectExtent l="0" t="0" r="165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36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C4183">
      <w:pPr>
        <w:spacing w:before="0" w:after="200" w:line="312" w:lineRule="auto"/>
        <w:jc w:val="left"/>
      </w:pPr>
      <w:r>
        <w:rPr>
          <w:rFonts w:ascii="Times New Roman" w:hAnsi="Times New Roman" w:cs="Times New Roman"/>
          <w:b w:val="0"/>
          <w:i/>
          <w:sz w:val="18"/>
        </w:rPr>
        <w:t xml:space="preserve">Note. </w:t>
      </w:r>
      <w:r>
        <w:rPr>
          <w:rFonts w:ascii="Times New Roman" w:hAnsi="Times New Roman" w:cs="Times New Roman"/>
          <w:b w:val="0"/>
          <w:i w:val="0"/>
          <w:sz w:val="18"/>
        </w:rPr>
        <w:t>Panels and conventions as in Figure S2. IIFs are shown for items q1–q8. Items in this factor were estimated under a dichotomous-equivalent specification (single threshold b₁).</w:t>
      </w:r>
    </w:p>
    <w:p w14:paraId="651B7057">
      <w:pPr>
        <w:keepNext/>
        <w:pageBreakBefore/>
        <w:spacing w:before="160" w:after="80" w:line="312" w:lineRule="auto"/>
        <w:jc w:val="left"/>
      </w:pPr>
      <w:r>
        <w:rPr>
          <w:rFonts w:ascii="Times New Roman" w:hAnsi="Times New Roman" w:cs="Times New Roman"/>
          <w:b/>
          <w:i w:val="0"/>
          <w:sz w:val="22"/>
        </w:rPr>
        <w:t>Figure S5. Information functions from the GRM for Factor 4 (Preference &amp; decision drivers).</w:t>
      </w:r>
    </w:p>
    <w:p w14:paraId="5939F788">
      <w:pPr>
        <w:keepNext/>
        <w:spacing w:before="0" w:after="120"/>
        <w:jc w:val="center"/>
      </w:pPr>
      <w:r>
        <w:drawing>
          <wp:inline distT="0" distB="0" distL="114300" distR="114300">
            <wp:extent cx="6479540" cy="3368040"/>
            <wp:effectExtent l="0" t="0" r="1651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36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8E17B">
      <w:pPr>
        <w:spacing w:before="0" w:after="200" w:line="312" w:lineRule="auto"/>
        <w:jc w:val="left"/>
      </w:pPr>
      <w:r>
        <w:rPr>
          <w:rFonts w:ascii="Times New Roman" w:hAnsi="Times New Roman" w:cs="Times New Roman"/>
          <w:b w:val="0"/>
          <w:i/>
          <w:sz w:val="18"/>
        </w:rPr>
        <w:t xml:space="preserve">Note. </w:t>
      </w:r>
      <w:r>
        <w:rPr>
          <w:rFonts w:ascii="Times New Roman" w:hAnsi="Times New Roman" w:cs="Times New Roman"/>
          <w:b w:val="0"/>
          <w:i w:val="0"/>
          <w:sz w:val="18"/>
        </w:rPr>
        <w:t>Panels and conventions as in Figure S2. IIFs are shown for items q16, q28–q29, q37–q38.</w:t>
      </w:r>
    </w:p>
    <w:p w14:paraId="5E63F052">
      <w:pPr>
        <w:keepNext/>
        <w:pageBreakBefore/>
        <w:spacing w:before="160" w:after="80" w:line="312" w:lineRule="auto"/>
        <w:jc w:val="left"/>
      </w:pPr>
      <w:r>
        <w:rPr>
          <w:rFonts w:ascii="Times New Roman" w:hAnsi="Times New Roman" w:cs="Times New Roman"/>
          <w:b/>
          <w:i w:val="0"/>
          <w:sz w:val="22"/>
        </w:rPr>
        <w:t>Figure S6. Information functions from the GRM for Factor 5 (Attitudes &amp; economic burden).</w:t>
      </w:r>
    </w:p>
    <w:p w14:paraId="456CDA87">
      <w:pPr>
        <w:keepNext/>
        <w:spacing w:before="0" w:after="120"/>
        <w:jc w:val="center"/>
      </w:pPr>
      <w:r>
        <w:drawing>
          <wp:inline distT="0" distB="0" distL="114300" distR="114300">
            <wp:extent cx="6479540" cy="3326765"/>
            <wp:effectExtent l="0" t="0" r="1651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32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1F03F">
      <w:pPr>
        <w:spacing w:before="0" w:after="200" w:line="312" w:lineRule="auto"/>
        <w:jc w:val="left"/>
      </w:pPr>
      <w:r>
        <w:rPr>
          <w:rFonts w:ascii="Times New Roman" w:hAnsi="Times New Roman" w:cs="Times New Roman"/>
          <w:b w:val="0"/>
          <w:i/>
          <w:sz w:val="18"/>
        </w:rPr>
        <w:t xml:space="preserve">Note. </w:t>
      </w:r>
      <w:r>
        <w:rPr>
          <w:rFonts w:ascii="Times New Roman" w:hAnsi="Times New Roman" w:cs="Times New Roman"/>
          <w:b w:val="0"/>
          <w:i w:val="0"/>
          <w:sz w:val="18"/>
        </w:rPr>
        <w:t>Panels and conventions as in Figure S2. IIFs are shown for items q9–q12, q25–q27.</w:t>
      </w:r>
    </w:p>
    <w:p w14:paraId="4129D534">
      <w:pPr>
        <w:keepNext/>
        <w:pageBreakBefore/>
        <w:spacing w:before="160" w:after="80" w:line="312" w:lineRule="auto"/>
        <w:jc w:val="left"/>
      </w:pPr>
      <w:r>
        <w:rPr>
          <w:rFonts w:ascii="Times New Roman" w:hAnsi="Times New Roman" w:cs="Times New Roman"/>
          <w:b/>
          <w:i w:val="0"/>
          <w:sz w:val="22"/>
        </w:rPr>
        <w:t>Figure S7. Information functions from the GRM for Factor 6 (Caregiving practice).</w:t>
      </w:r>
    </w:p>
    <w:p w14:paraId="02A1BE0F">
      <w:pPr>
        <w:keepNext/>
        <w:spacing w:before="0" w:after="120"/>
        <w:jc w:val="center"/>
      </w:pPr>
      <w:r>
        <w:drawing>
          <wp:inline distT="0" distB="0" distL="114300" distR="114300">
            <wp:extent cx="6479540" cy="3368040"/>
            <wp:effectExtent l="0" t="0" r="1651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36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25A94">
      <w:pPr>
        <w:spacing w:before="0" w:after="200" w:line="312" w:lineRule="auto"/>
        <w:jc w:val="left"/>
      </w:pPr>
      <w:r>
        <w:rPr>
          <w:rFonts w:ascii="Times New Roman" w:hAnsi="Times New Roman" w:cs="Times New Roman"/>
          <w:b w:val="0"/>
          <w:i/>
          <w:sz w:val="18"/>
        </w:rPr>
        <w:t xml:space="preserve">Note. </w:t>
      </w:r>
      <w:r>
        <w:rPr>
          <w:rFonts w:ascii="Times New Roman" w:hAnsi="Times New Roman" w:cs="Times New Roman"/>
          <w:b w:val="0"/>
          <w:i w:val="0"/>
          <w:sz w:val="18"/>
        </w:rPr>
        <w:t>Panels and conventions as in Figure S2. IIFs are shown for items q13–q15.</w:t>
      </w:r>
    </w:p>
    <w:p w14:paraId="6183E8B1">
      <w:pPr>
        <w:keepNext/>
        <w:pageBreakBefore/>
        <w:spacing w:before="240" w:after="120" w:line="312" w:lineRule="auto"/>
        <w:jc w:val="left"/>
      </w:pPr>
      <w:r>
        <w:rPr>
          <w:rFonts w:ascii="Times New Roman" w:hAnsi="Times New Roman" w:cs="Times New Roman"/>
          <w:b/>
          <w:i w:val="0"/>
          <w:sz w:val="22"/>
        </w:rPr>
        <w:t>Table S4. Results of differential item functioning (DIF) analysis: effect sizes and statistical significance stratified by child sex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7370"/>
        <w:gridCol w:w="1247"/>
        <w:gridCol w:w="1474"/>
        <w:gridCol w:w="1247"/>
        <w:gridCol w:w="1587"/>
      </w:tblGrid>
      <w:tr w14:paraId="2F0BB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5F7F6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No.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9C5CFF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Item content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6FBCB0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ΔR</w:t>
            </w:r>
            <w:r>
              <w:rPr>
                <w:rFonts w:ascii="Times New Roman" w:hAnsi="Times New Roman" w:cs="Times New Roman"/>
                <w:b/>
                <w:i w:val="0"/>
                <w:sz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i w:val="0"/>
                <w:sz w:val="20"/>
              </w:rPr>
              <w:t xml:space="preserve"> (uniform)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FD5594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ΔR</w:t>
            </w:r>
            <w:r>
              <w:rPr>
                <w:rFonts w:ascii="Times New Roman" w:hAnsi="Times New Roman" w:cs="Times New Roman"/>
                <w:b/>
                <w:i w:val="0"/>
                <w:sz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i w:val="0"/>
                <w:sz w:val="20"/>
              </w:rPr>
              <w:t xml:space="preserve"> (non-uniform)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915A79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ΔR</w:t>
            </w:r>
            <w:r>
              <w:rPr>
                <w:rFonts w:ascii="Times New Roman" w:hAnsi="Times New Roman" w:cs="Times New Roman"/>
                <w:b/>
                <w:i w:val="0"/>
                <w:sz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i w:val="0"/>
                <w:sz w:val="20"/>
              </w:rPr>
              <w:t xml:space="preserve"> (total)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F101C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0"/>
              </w:rPr>
              <w:t>Significant DIF?</w:t>
            </w:r>
          </w:p>
        </w:tc>
      </w:tr>
      <w:tr w14:paraId="34E21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CD6C4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570324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How well do you understand the possible causes of central precocious puberty (CPP)?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F6F6D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C6795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7DBFF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5A04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3B462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27D2E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E78D59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How well do you understand how CPP is diagnosed?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1117A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18F02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0BBFD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422D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7F9F3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8BF56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23F779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Do you understand the role of “bone age” in diagnosis and treatment?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D7235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A9B44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40599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B9DDE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611D8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5EE06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4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DC783C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What do you consider to be the primary goal of administering GnRHa (“suppression shots”) to your child?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93440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4BAA8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A0399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CF948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04F07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55BF3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5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FF8459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Aside from height, are you aware that CPP may also impact your child’s future psychological health?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702B1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80DA9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04D45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A1923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496DE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6B2F6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6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9F9B96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Do you understand that the main difference between types of “suppression shots” (e.g., monthly vs. quarterly) lies in injection frequency and convenience?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D6A22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5D039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A5887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1A266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22808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C0A58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7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F76538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Are you aware that common, mild side effects (e.g., redness or pain at the injection site) may occur during treatment?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1FB66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B942F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F5D0F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189CB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71FB3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9BF6A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8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EA64A8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Do you know the appropriate course of action if your child experiences a mild local reaction after an injection?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507D1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57291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FBDAB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0.000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49812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51475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07D18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9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634B68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 believe “suppression shots” are necessary for children with CPP.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8E8F0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0.001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5DEDD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3468B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64531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604ED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58067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10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AB826C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 am worried about potential unknown risks associated with the “suppression shots.”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2C247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0.001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380C4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A04F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3AB5B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2BA00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AA87F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11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63F16B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 believe the “suppression shots” are crucial for improving my child’s final height.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C2A5F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24561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0.003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6C573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0.005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4776B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4AEFC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F7B8F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12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3F0AF0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 feel stressed about managing the daily routine of my child’s CPP treatment (e.g., timely injections, regular check-ups).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38C21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0.001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60CF2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458E8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1BFAC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753F6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9E3CC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13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A598E0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have regularly monitored and recorded changes in my child’s growth (height, weight, sexual development).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04DDB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0.001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2A89B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0.003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0A157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7BC4D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7D420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8A6C5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14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14F552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have proactively sought more information about CPP via the internet or books.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67DD8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0.001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50BE7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0.003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0C8EF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C3D3F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730B3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09859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15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0444D8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have tried to talk to my child about their condition and injections in a way they can understand.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05D4F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0.001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40EE9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0.003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193FF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AF1CD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28E26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0E799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16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1FA655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have strictly followed the doctor’s instructions to ensure my child receives every treatment.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FF0CE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BEE00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0.011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D31D8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0.017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475D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0B36D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9272A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17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7E4581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felt challenged in helping my child overcome the fear of injections.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F0AF8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0.003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2465C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20694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0.009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3C187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08C72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0BBF0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18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5F67E9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felt depressed or anxious because of my child’s condition.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B9D99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B1C06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0.005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F49CA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0.007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12766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3CB88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B5C9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19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99129F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have discussed this matter deeply with others because of my child’s condition.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3B260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74332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9B207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79033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4EBCA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C99C2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20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CDAB3D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felt that family life was affected by my child’s condition.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1E426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0.003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FF77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61FB8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0.009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258C7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0FD4A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9C85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21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7F8F01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was very worried that my child’s final height would not be ideal.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D623B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94277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33905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80AB9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1BB6C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6CB87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22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F8832A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was very worried about unknown long-term side effects of the treatment.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169277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FAA74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8D4B5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E4237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50ADE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23AF6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23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6DA5FA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was very worried that my child would be bullied or isolated at school due to early development.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27C67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990CD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44229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CDB0A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44224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8DBF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24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2E9813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In the past month, I was very worried that my child is not psychologically prepared for premature development.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211CD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6792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E00D2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78B8B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32384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0849A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25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378653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Expenses for various tests (e.g., ultrasound, bone age, labs, MRI) are a significant expenditure for my family.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960B8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0.001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CA988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5639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FCEFE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44EAB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0AE02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26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33C645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Travel and accommodation costs for frequent hospital visits place an extra economic strain on my family.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E9D89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0.001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1386B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B5872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E5AA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44C7D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AE34E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27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45EFEF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I feel the total cost of treating my child’s condition exceeds my family’s financial capacity.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55579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0.001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1312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F8909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A034F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16D07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F34AF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28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AF5467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Ability to effectively control the child’s sexual development.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A5565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A9388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E6195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90217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75C43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C98CD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29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D0A7E6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Maximizing improvement in the child’s future height.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98E1F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503AE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3809C3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B02A6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7A092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F213E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30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9359B4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The likelihood of treatment causing weight gain.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8D7EE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93411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3B74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E914E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56ABF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8F40B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31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A7A943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The type and probability of potential side effects (e.g., local site reactions).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229C8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15D7D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A48ED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0CC9D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5E1E3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9E70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32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1AC4FD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Ability to minimize the frequency of hospital visits.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6EBC9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6C621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20E1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4E66B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31C69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275C6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33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79B5B8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Minimal interference with daily activities like school and sports.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00879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44A14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160EB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0A166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18527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2B36A0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34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31E4B9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Lower injection frequency (e.g., every three months vs. monthly).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A7EB1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473BFD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2F7EE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A6F5E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1714B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7FF0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35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506F62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The child’s level of fear regarding different injection methods.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DAF98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170B5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64F2BB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83ED3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04948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B4247A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36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4EA5B9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Which treatment regimen has lower costs.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6BBE5E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7CB29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1F535C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485362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0A180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5C0A2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37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827593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The doctor’s professional recommendation.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70A51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0FD7B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58C3E4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570348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  <w:tr w14:paraId="5A8D0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88AF31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18"/>
              </w:rPr>
              <w:t>38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C7C487">
            <w:pPr>
              <w:spacing w:before="0" w:after="0" w:line="276" w:lineRule="auto"/>
              <w:jc w:val="left"/>
            </w:pPr>
            <w:r>
              <w:rPr>
                <w:rFonts w:ascii="Times New Roman" w:hAnsi="Times New Roman" w:cs="Times New Roman"/>
                <w:b w:val="0"/>
                <w:i w:val="0"/>
                <w:sz w:val="16"/>
              </w:rPr>
              <w:t>Alignment between injection frequency and check-up frequency.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4C4E96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0.002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ABF2D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9AAF3F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0.006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E7769">
            <w:pPr>
              <w:spacing w:before="0" w:after="0" w:line="276" w:lineRule="auto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</w:rPr>
              <w:t>No</w:t>
            </w:r>
          </w:p>
        </w:tc>
      </w:tr>
    </w:tbl>
    <w:p w14:paraId="4AA49E4D">
      <w:pPr>
        <w:spacing w:before="80" w:after="240" w:line="312" w:lineRule="auto"/>
        <w:jc w:val="left"/>
      </w:pPr>
      <w:r>
        <w:rPr>
          <w:rFonts w:ascii="Times New Roman" w:hAnsi="Times New Roman" w:cs="Times New Roman"/>
          <w:b w:val="0"/>
          <w:i/>
          <w:sz w:val="18"/>
        </w:rPr>
        <w:t xml:space="preserve">Note. </w:t>
      </w:r>
      <w:r>
        <w:rPr>
          <w:rFonts w:ascii="Times New Roman" w:hAnsi="Times New Roman" w:cs="Times New Roman"/>
          <w:b w:val="0"/>
          <w:i w:val="0"/>
          <w:sz w:val="18"/>
        </w:rPr>
        <w:t>A nested-model framework was used to sequentially test uniform and non-uniform DIF using ordinal logistic regression. A threshold of ΔR²</w:t>
      </w:r>
      <w:r>
        <w:rPr>
          <w:rFonts w:ascii="Times New Roman" w:hAnsi="Times New Roman" w:cs="Times New Roman"/>
          <w:b w:val="0"/>
          <w:i w:val="0"/>
          <w:sz w:val="18"/>
          <w:vertAlign w:val="subscript"/>
        </w:rPr>
        <w:t>total</w:t>
      </w:r>
      <w:r>
        <w:rPr>
          <w:rFonts w:ascii="Times New Roman" w:hAnsi="Times New Roman" w:cs="Times New Roman"/>
          <w:b w:val="0"/>
          <w:i w:val="0"/>
          <w:sz w:val="18"/>
        </w:rPr>
        <w:t xml:space="preserve"> ≥ 0.020 defined “substantial DIF.” All ΔR²</w:t>
      </w:r>
      <w:r>
        <w:rPr>
          <w:rFonts w:ascii="Times New Roman" w:hAnsi="Times New Roman" w:cs="Times New Roman"/>
          <w:b w:val="0"/>
          <w:i w:val="0"/>
          <w:sz w:val="18"/>
          <w:vertAlign w:val="subscript"/>
        </w:rPr>
        <w:t>total</w:t>
      </w:r>
      <w:r>
        <w:rPr>
          <w:rFonts w:ascii="Times New Roman" w:hAnsi="Times New Roman" w:cs="Times New Roman"/>
          <w:b w:val="0"/>
          <w:i w:val="0"/>
          <w:sz w:val="18"/>
        </w:rPr>
        <w:t xml:space="preserve"> values were well below this threshold (maximum 0.017), supporting measurement invariance across child sex.</w:t>
      </w:r>
    </w:p>
    <w:p w14:paraId="31398694">
      <w:pPr>
        <w:keepNext/>
        <w:pageBreakBefore/>
        <w:spacing w:before="160" w:after="80" w:line="312" w:lineRule="auto"/>
        <w:jc w:val="left"/>
      </w:pPr>
      <w:r>
        <w:rPr>
          <w:rFonts w:ascii="Times New Roman" w:hAnsi="Times New Roman" w:cs="Times New Roman"/>
          <w:b/>
          <w:i w:val="0"/>
          <w:sz w:val="22"/>
        </w:rPr>
        <w:t>Figure S8. Distribution of DIF effect sizes (ΔR²total) stratified by child sex, with reference threshold.</w:t>
      </w:r>
    </w:p>
    <w:p w14:paraId="7F90C94E">
      <w:pPr>
        <w:keepNext/>
        <w:spacing w:before="0" w:after="120"/>
        <w:jc w:val="center"/>
      </w:pPr>
      <w:r>
        <w:drawing>
          <wp:inline distT="0" distB="0" distL="114300" distR="114300">
            <wp:extent cx="7199630" cy="4140200"/>
            <wp:effectExtent l="0" t="0" r="1270" b="127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14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B54EA">
      <w:pPr>
        <w:spacing w:before="0" w:after="200" w:line="312" w:lineRule="auto"/>
        <w:jc w:val="left"/>
      </w:pPr>
      <w:r>
        <w:rPr>
          <w:rFonts w:ascii="Times New Roman" w:hAnsi="Times New Roman" w:cs="Times New Roman"/>
          <w:b w:val="0"/>
          <w:i/>
          <w:sz w:val="18"/>
        </w:rPr>
        <w:t xml:space="preserve">Note. </w:t>
      </w:r>
      <w:r>
        <w:rPr>
          <w:rFonts w:ascii="Times New Roman" w:hAnsi="Times New Roman" w:cs="Times New Roman"/>
          <w:b w:val="0"/>
          <w:i w:val="0"/>
          <w:sz w:val="18"/>
        </w:rPr>
        <w:t>(A) Per-item bar chart of ΔR²total values for the 38 items, color-coded by primary factor (F1–F6). The red dashed line indicates the threshold for substantial DIF (ΔR²total = 0.020). (B) Distribution summary (box plot with jittered scatter) across all 38 items. All items remained below the threshold (maximum = 0.017; item q16), supporting measurement invariance across child sex (Sample A, n = 738).</w:t>
      </w:r>
    </w:p>
    <w:sectPr>
      <w:footerReference r:id="rId5" w:type="default"/>
      <w:pgSz w:w="15840" w:h="12240" w:orient="landscape"/>
      <w:pgMar w:top="1077" w:right="1077" w:bottom="1077" w:left="107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C220E3">
    <w:pPr>
      <w:pStyle w:val="24"/>
      <w:jc w:val="center"/>
    </w:pPr>
    <w:r>
      <w:rPr>
        <w:rFonts w:ascii="Times New Roman" w:hAnsi="Times New Roman" w:cs="Times New Roman"/>
        <w:b w:val="0"/>
        <w:i w:val="0"/>
        <w:sz w:val="20"/>
      </w:rPr>
      <w:t>S</w:t>
    </w:r>
    <w:r>
      <w:rPr>
        <w:rFonts w:ascii="Times New Roman" w:hAnsi="Times New Roman" w:cs="Times New Roman"/>
        <w:b w:val="0"/>
        <w:i w:val="0"/>
        <w:sz w:val="20"/>
      </w:rPr>
      <w:fldChar w:fldCharType="begin"/>
    </w:r>
    <w:r>
      <w:rPr>
        <w:rFonts w:ascii="Times New Roman" w:hAnsi="Times New Roman" w:cs="Times New Roman"/>
        <w:b w:val="0"/>
        <w:i w:val="0"/>
        <w:sz w:val="20"/>
      </w:rPr>
      <w:instrText xml:space="preserve">PAGE</w:instrText>
    </w:r>
    <w:r>
      <w:rPr>
        <w:rFonts w:ascii="Times New Roman" w:hAnsi="Times New Roman" w:cs="Times New Roman"/>
        <w:b w:val="0"/>
        <w:i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92C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  <w:rPr>
      <w:rFonts w:ascii="Times New Roman" w:hAnsi="Times New Roman"/>
    </w:rPr>
  </w:style>
  <w:style w:type="table" w:default="1" w:styleId="32">
    <w:name w:val="Normal Table"/>
    <w:semiHidden/>
    <w:unhideWhenUsed/>
    <w:uiPriority w:val="99"/>
    <w:rPr>
      <w:rFonts w:ascii="Times New Roman" w:hAns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Times New Roman" w:hAnsi="Times New Roman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  <w:rPr>
      <w:rFonts w:ascii="Times New Roman" w:hAnsi="Times New Roman"/>
    </w:r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  <w:rPr>
      <w:rFonts w:ascii="Times New Roman" w:hAnsi="Times New Roman"/>
    </w:r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  <w:rPr>
      <w:rFonts w:ascii="Times New Roman" w:hAnsi="Times New Roman"/>
    </w:r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  <w:rPr>
      <w:rFonts w:ascii="Times New Roman" w:hAnsi="Times New Roman"/>
    </w:r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rFonts w:ascii="Times New Roman" w:hAnsi="Times New Roman"/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  <w:rPr>
      <w:rFonts w:ascii="Times New Roman" w:hAnsi="Times New Roman"/>
    </w:rPr>
  </w:style>
  <w:style w:type="paragraph" w:styleId="19">
    <w:name w:val="Body Text"/>
    <w:basedOn w:val="1"/>
    <w:link w:val="144"/>
    <w:unhideWhenUsed/>
    <w:uiPriority w:val="99"/>
    <w:pPr>
      <w:spacing w:after="120"/>
    </w:pPr>
    <w:rPr>
      <w:rFonts w:ascii="Times New Roman" w:hAnsi="Times New Roman"/>
    </w:r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  <w:rPr>
      <w:rFonts w:ascii="Times New Roman" w:hAnsi="Times New Roman"/>
    </w:rPr>
  </w:style>
  <w:style w:type="paragraph" w:styleId="21">
    <w:name w:val="List 2"/>
    <w:basedOn w:val="1"/>
    <w:unhideWhenUsed/>
    <w:uiPriority w:val="99"/>
    <w:pPr>
      <w:ind w:left="720" w:hanging="360"/>
      <w:contextualSpacing/>
    </w:pPr>
    <w:rPr>
      <w:rFonts w:ascii="Times New Roman" w:hAnsi="Times New Roman"/>
    </w:r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  <w:rPr>
      <w:rFonts w:ascii="Times New Roman" w:hAnsi="Times New Roman"/>
    </w:r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  <w:rPr>
      <w:rFonts w:ascii="Times New Roman" w:hAnsi="Times New Roman"/>
    </w:r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</w:r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</w:r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  <w:rPr>
      <w:rFonts w:ascii="Times New Roman" w:hAnsi="Times New Roman"/>
    </w:r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  <w:rPr>
      <w:rFonts w:ascii="Times New Roman" w:hAnsi="Times New Roman"/>
    </w:r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  <w:rPr>
      <w:rFonts w:ascii="Times New Roman" w:hAnsi="Times New Roman"/>
    </w:r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  <w:rPr>
      <w:rFonts w:ascii="Times New Roman" w:hAnsi="Times New Roman"/>
    </w:r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rFonts w:ascii="Times New Roman" w:hAnsi="Times New Roman"/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rFonts w:ascii="Times New Roman" w:hAnsi="Times New Roman"/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rFonts w:ascii="Times New Roman" w:hAnsi="Times New Roman"/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rFonts w:ascii="Times New Roman" w:hAnsi="Times New Roman"/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rFonts w:ascii="Times New Roman" w:hAnsi="Times New Roman"/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rFonts w:ascii="Times New Roman" w:hAnsi="Times New Roman"/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rFonts w:ascii="Times New Roman" w:hAnsi="Times New Roman"/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rPr>
      <w:rFonts w:ascii="Times New Roman" w:hAnsi="Times New Roman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rPr>
      <w:rFonts w:ascii="Times New Roman" w:hAnsi="Times New Roman"/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rPr>
      <w:rFonts w:ascii="Times New Roman" w:hAnsi="Times New Roman"/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rPr>
      <w:rFonts w:ascii="Times New Roman" w:hAnsi="Times New Roman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rPr>
      <w:rFonts w:ascii="Times New Roman" w:hAnsi="Times New Roman"/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rPr>
      <w:rFonts w:ascii="Times New Roman" w:hAnsi="Times New Roman"/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rPr>
      <w:rFonts w:ascii="Times New Roman" w:hAnsi="Times New Roman"/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rPr>
      <w:rFonts w:ascii="Times New Roman" w:hAnsi="Times New Roman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rPr>
      <w:rFonts w:ascii="Times New Roman" w:hAnsi="Times New Roman"/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rPr>
      <w:rFonts w:ascii="Times New Roman" w:hAnsi="Times New Roman"/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rPr>
      <w:rFonts w:ascii="Times New Roman" w:hAnsi="Times New Roman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rPr>
      <w:rFonts w:ascii="Times New Roman" w:hAnsi="Times New Roman"/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rPr>
      <w:rFonts w:ascii="Times New Roman" w:hAnsi="Times New Roman"/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rPr>
      <w:rFonts w:ascii="Times New Roman" w:hAnsi="Times New Roman"/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rPr>
      <w:rFonts w:ascii="Times New Roman" w:hAnsi="Times New Roman"/>
    </w:r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rPr>
      <w:rFonts w:ascii="Times New Roman" w:hAnsi="Times New Roman"/>
    </w:r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rPr>
      <w:rFonts w:ascii="Times New Roman" w:hAnsi="Times New Roman"/>
    </w:r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rPr>
      <w:rFonts w:ascii="Times New Roman" w:hAnsi="Times New Roman"/>
    </w:r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rPr>
      <w:rFonts w:ascii="Times New Roman" w:hAnsi="Times New Roman"/>
    </w:r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rPr>
      <w:rFonts w:ascii="Times New Roman" w:hAnsi="Times New Roman"/>
    </w:r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rPr>
      <w:rFonts w:ascii="Times New Roman" w:hAnsi="Times New Roman"/>
    </w:r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rPr>
      <w:rFonts w:ascii="Times New Roman" w:hAnsi="Times New Roman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rPr>
      <w:rFonts w:ascii="Times New Roman" w:hAnsi="Times New Roman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rPr>
      <w:rFonts w:ascii="Times New Roman" w:hAnsi="Times New Roman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rPr>
      <w:rFonts w:ascii="Times New Roman" w:hAnsi="Times New Roman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rPr>
      <w:rFonts w:ascii="Times New Roman" w:hAnsi="Times New Roman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rPr>
      <w:rFonts w:ascii="Times New Roman" w:hAnsi="Times New Roman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rPr>
      <w:rFonts w:ascii="Times New Roman" w:hAnsi="Times New Roman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rPr>
      <w:rFonts w:ascii="Times New Roman" w:hAnsi="Times New Roman"/>
    </w:r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rPr>
      <w:rFonts w:ascii="Times New Roman" w:hAnsi="Times New Roman"/>
    </w:r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rPr>
      <w:rFonts w:ascii="Times New Roman" w:hAnsi="Times New Roman"/>
    </w:r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rPr>
      <w:rFonts w:ascii="Times New Roman" w:hAnsi="Times New Roman"/>
    </w:r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rPr>
      <w:rFonts w:ascii="Times New Roman" w:hAnsi="Times New Roman"/>
    </w:r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rPr>
      <w:rFonts w:ascii="Times New Roman" w:hAnsi="Times New Roman"/>
    </w:r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rPr>
      <w:rFonts w:ascii="Times New Roman" w:hAnsi="Times New Roman"/>
    </w:r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rPr>
      <w:rFonts w:ascii="Times New Roman" w:hAnsi="Times New Roman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rPr>
      <w:rFonts w:ascii="Times New Roman" w:hAnsi="Times New Roman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rPr>
      <w:rFonts w:ascii="Times New Roman" w:hAnsi="Times New Roman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rPr>
      <w:rFonts w:ascii="Times New Roman" w:hAnsi="Times New Roman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rPr>
      <w:rFonts w:ascii="Times New Roman" w:hAnsi="Times New Roman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rPr>
      <w:rFonts w:ascii="Times New Roman" w:hAnsi="Times New Roman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rPr>
      <w:rFonts w:ascii="Times New Roman" w:hAnsi="Times New Roman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rFonts w:ascii="Times New Roman" w:hAnsi="Times New Roman"/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rFonts w:ascii="Times New Roman" w:hAnsi="Times New Roman"/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rFonts w:ascii="Times New Roman" w:hAnsi="Times New Roman"/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rFonts w:ascii="Times New Roman" w:hAnsi="Times New Roman"/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rFonts w:ascii="Times New Roman" w:hAnsi="Times New Roman"/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rFonts w:ascii="Times New Roman" w:hAnsi="Times New Roman"/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rFonts w:ascii="Times New Roman" w:hAnsi="Times New Roman"/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rFonts w:ascii="Times New Roman" w:hAnsi="Times New Roman"/>
      <w:b/>
      <w:bCs/>
    </w:rPr>
  </w:style>
  <w:style w:type="character" w:styleId="134">
    <w:name w:val="Emphasis"/>
    <w:basedOn w:val="132"/>
    <w:qFormat/>
    <w:uiPriority w:val="20"/>
    <w:rPr>
      <w:rFonts w:ascii="Times New Roman" w:hAnsi="Times New Roman"/>
      <w:i/>
      <w:iCs/>
    </w:rPr>
  </w:style>
  <w:style w:type="character" w:customStyle="1" w:styleId="135">
    <w:name w:val="Header Char"/>
    <w:basedOn w:val="132"/>
    <w:link w:val="25"/>
    <w:uiPriority w:val="99"/>
    <w:rPr>
      <w:rFonts w:ascii="Times New Roman" w:hAnsi="Times New Roman"/>
    </w:rPr>
  </w:style>
  <w:style w:type="character" w:customStyle="1" w:styleId="136">
    <w:name w:val="Footer Char"/>
    <w:basedOn w:val="132"/>
    <w:link w:val="24"/>
    <w:uiPriority w:val="99"/>
    <w:rPr>
      <w:rFonts w:ascii="Times New Roman" w:hAnsi="Times New Roman"/>
    </w:rPr>
  </w:style>
  <w:style w:type="paragraph" w:styleId="137">
    <w:name w:val="No Spacing"/>
    <w:qFormat/>
    <w:uiPriority w:val="1"/>
    <w:pPr>
      <w:spacing w:after="0" w:line="240" w:lineRule="auto"/>
    </w:pPr>
    <w:rPr>
      <w:rFonts w:ascii="Times New Roman" w:hAnsi="Times New Roman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  <w:rPr>
      <w:rFonts w:ascii="Times New Roman" w:hAnsi="Times New Roman"/>
    </w:rPr>
  </w:style>
  <w:style w:type="character" w:customStyle="1" w:styleId="144">
    <w:name w:val="Body Text Char"/>
    <w:basedOn w:val="132"/>
    <w:link w:val="19"/>
    <w:uiPriority w:val="99"/>
    <w:rPr>
      <w:rFonts w:ascii="Times New Roman" w:hAnsi="Times New Roman"/>
    </w:rPr>
  </w:style>
  <w:style w:type="character" w:customStyle="1" w:styleId="145">
    <w:name w:val="Body Text 2 Char"/>
    <w:basedOn w:val="132"/>
    <w:link w:val="28"/>
    <w:uiPriority w:val="99"/>
    <w:rPr>
      <w:rFonts w:ascii="Times New Roman" w:hAnsi="Times New Roman"/>
    </w:rPr>
  </w:style>
  <w:style w:type="character" w:customStyle="1" w:styleId="146">
    <w:name w:val="Body Text 3 Char"/>
    <w:basedOn w:val="132"/>
    <w:link w:val="17"/>
    <w:uiPriority w:val="99"/>
    <w:rPr>
      <w:rFonts w:ascii="Times New Roman" w:hAnsi="Times New Roman"/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Times New Roman" w:hAnsi="Times New Roman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rFonts w:ascii="Times New Roman" w:hAnsi="Times New Roman"/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rFonts w:ascii="Times New Roman" w:hAnsi="Times New Roman"/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rFonts w:ascii="Times New Roman" w:hAnsi="Times New Roman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rFonts w:ascii="Times New Roman" w:hAnsi="Times New Roman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rFonts w:ascii="Times New Roman" w:hAnsi="Times New Roman"/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rFonts w:ascii="Times New Roman" w:hAnsi="Times New Roman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rFonts w:ascii="Times New Roman" w:hAnsi="Times New Roman"/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rFonts w:ascii="Times New Roman" w:hAnsi="Times New Roman"/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rFonts w:ascii="Times New Roman" w:hAnsi="Times New Roman"/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657</Words>
  <Characters>3589</Characters>
  <Lines>0</Lines>
  <Paragraphs>0</Paragraphs>
  <TotalTime>0</TotalTime>
  <ScaleCrop>false</ScaleCrop>
  <LinksUpToDate>false</LinksUpToDate>
  <CharactersWithSpaces>4004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Y</cp:lastModifiedBy>
  <dcterms:modified xsi:type="dcterms:W3CDTF">2026-06-10T06:18:56Z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eyJoZGlkIjoiMGIxMjVhZjhmNzk2Y2JjZTg1MDZjYjExNGI3MDBiMGMiLCJ1c2VySWQiOiIxMzc1ODA3MzY2In0=</vt:lpwstr>
  </property>
  <property fmtid="{D5CDD505-2E9C-101B-9397-08002B2CF9AE}" pid="3" name="KSOProductBuildVer">
    <vt:lpwstr>2052-12.1.0.26895</vt:lpwstr>
  </property>
  <property fmtid="{D5CDD505-2E9C-101B-9397-08002B2CF9AE}" pid="4" name="ICV">
    <vt:lpwstr>3DB1C0CB97234492A93ECBE423F9F6AC_12</vt:lpwstr>
  </property>
</Properties>
</file>