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6B73" w14:textId="77777777" w:rsidR="00321272" w:rsidRPr="00A81135" w:rsidRDefault="00321272" w:rsidP="00321272">
      <w:r w:rsidRPr="00A81135">
        <w:t>Table 1. Patient characteristics according to irreversible dental treatment</w:t>
      </w:r>
    </w:p>
    <w:p w14:paraId="3D47168F" w14:textId="77777777" w:rsidR="00321272" w:rsidRPr="005A494B" w:rsidRDefault="00321272" w:rsidP="00321272">
      <w:r w:rsidRPr="002F3C5F">
        <w:rPr>
          <w:noProof/>
        </w:rPr>
        <w:drawing>
          <wp:inline distT="0" distB="0" distL="0" distR="0" wp14:anchorId="53EF5EB0" wp14:editId="21106F97">
            <wp:extent cx="5400040" cy="5866130"/>
            <wp:effectExtent l="0" t="0" r="0" b="1270"/>
            <wp:docPr id="141836206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487C" w14:textId="77777777" w:rsidR="00321272" w:rsidRDefault="00321272" w:rsidP="00321272"/>
    <w:p w14:paraId="0F9EA367" w14:textId="77777777" w:rsidR="00321272" w:rsidRPr="00A81135" w:rsidRDefault="00321272" w:rsidP="00321272">
      <w:r w:rsidRPr="00A81135">
        <w:t>Values are presented as mean ± standard deviation or number (%). Continuous variables were analyzed using Student’s t-test or Mann–Whitney U test according to data distribution. Categorical variables were analyzed using the χ² test or Fisher’s exact test.</w:t>
      </w:r>
    </w:p>
    <w:p w14:paraId="03E74FFF" w14:textId="77777777" w:rsidR="00321272" w:rsidRDefault="00321272" w:rsidP="00321272"/>
    <w:p w14:paraId="1EE7F20D" w14:textId="3E41F881" w:rsidR="00321272" w:rsidRDefault="00321272" w:rsidP="00321272">
      <w:r w:rsidRPr="00A85F4A">
        <w:t>Table 2. Multivariate Logistic Regression Analysis of Factors Associated with Irreversible Dental Treatment</w:t>
      </w:r>
    </w:p>
    <w:p w14:paraId="5F48BE6D" w14:textId="401161C0" w:rsidR="00DE6AE2" w:rsidRDefault="00321272">
      <w:r w:rsidRPr="00DF0779">
        <w:rPr>
          <w:noProof/>
        </w:rPr>
        <w:lastRenderedPageBreak/>
        <w:drawing>
          <wp:inline distT="0" distB="0" distL="0" distR="0" wp14:anchorId="75DFD565" wp14:editId="270A6AF2">
            <wp:extent cx="4305300" cy="1438275"/>
            <wp:effectExtent l="0" t="0" r="0" b="9525"/>
            <wp:docPr id="2473281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B8BFC" w14:textId="77777777" w:rsidR="00321272" w:rsidRDefault="00321272"/>
    <w:p w14:paraId="55D65EB0" w14:textId="77777777" w:rsidR="00321272" w:rsidRDefault="00321272"/>
    <w:p w14:paraId="1650FE90" w14:textId="77777777" w:rsidR="00321272" w:rsidRDefault="00321272"/>
    <w:p w14:paraId="34B74170" w14:textId="77777777" w:rsidR="00321272" w:rsidRDefault="00321272" w:rsidP="00321272">
      <w:r w:rsidRPr="00A85F4A">
        <w:t>Table 3. Postoperative Outcomes According to the Presence of Toothache</w:t>
      </w:r>
    </w:p>
    <w:p w14:paraId="604EEFAA" w14:textId="23AF56ED" w:rsidR="00321272" w:rsidRDefault="00321272">
      <w:r w:rsidRPr="002F3C5F">
        <w:rPr>
          <w:noProof/>
        </w:rPr>
        <w:drawing>
          <wp:inline distT="0" distB="0" distL="0" distR="0" wp14:anchorId="18A67A85" wp14:editId="45B7118A">
            <wp:extent cx="5400040" cy="865505"/>
            <wp:effectExtent l="0" t="0" r="0" b="0"/>
            <wp:docPr id="7108882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4EB15" w14:textId="77777777" w:rsidR="00321272" w:rsidRDefault="00321272"/>
    <w:p w14:paraId="18E23DD1" w14:textId="77777777" w:rsidR="00321272" w:rsidRDefault="00321272"/>
    <w:p w14:paraId="74105828" w14:textId="77777777" w:rsidR="00321272" w:rsidRDefault="00321272" w:rsidP="00321272">
      <w:r w:rsidRPr="00024C98">
        <w:t>Table 4. Previous reports regarding tooth extraction in patients with trigeminal neuralgia</w:t>
      </w:r>
    </w:p>
    <w:p w14:paraId="186BA11B" w14:textId="35A5F6B2" w:rsidR="00321272" w:rsidRDefault="00321272">
      <w:r w:rsidRPr="002F3C5F">
        <w:rPr>
          <w:noProof/>
        </w:rPr>
        <w:drawing>
          <wp:inline distT="0" distB="0" distL="0" distR="0" wp14:anchorId="3AF5E1F5" wp14:editId="05EA3EF0">
            <wp:extent cx="4895850" cy="1609725"/>
            <wp:effectExtent l="0" t="0" r="0" b="9525"/>
            <wp:docPr id="71476787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72"/>
    <w:rsid w:val="00195413"/>
    <w:rsid w:val="00321272"/>
    <w:rsid w:val="003A03A7"/>
    <w:rsid w:val="003D0186"/>
    <w:rsid w:val="007278E4"/>
    <w:rsid w:val="008D3135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87F7D"/>
  <w15:chartTrackingRefBased/>
  <w15:docId w15:val="{2FD760BF-52D9-4313-97AD-DA03E9BA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72"/>
    <w:pPr>
      <w:widowControl w:val="0"/>
      <w:spacing w:after="0" w:line="240" w:lineRule="auto"/>
    </w:pPr>
    <w:rPr>
      <w:rFonts w:eastAsiaTheme="minorEastAsia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27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27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272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272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272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272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272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272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272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27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272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2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27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21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272"/>
    <w:pPr>
      <w:widowControl/>
      <w:spacing w:after="160" w:line="278" w:lineRule="auto"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321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2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2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525</Characters>
  <Application>Microsoft Office Word</Application>
  <DocSecurity>0</DocSecurity>
  <Lines>4</Lines>
  <Paragraphs>1</Paragraphs>
  <ScaleCrop>false</ScaleCrop>
  <Company>Springer Nature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2026-07-10T06:39:00Z</dcterms:created>
  <dcterms:modified xsi:type="dcterms:W3CDTF">2026-07-10T06:40:00Z</dcterms:modified>
</cp:coreProperties>
</file>