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DDE79" w14:textId="5406E76D" w:rsidR="009F28D9" w:rsidRPr="009F28D9" w:rsidRDefault="009F28D9" w:rsidP="009F28D9">
      <w:pPr>
        <w:spacing w:line="360" w:lineRule="auto"/>
        <w:rPr>
          <w:rFonts w:ascii="Times New Roman" w:hAnsi="Times New Roman" w:cs="Times New Roman"/>
          <w:b/>
          <w:bCs/>
        </w:rPr>
      </w:pPr>
      <w:r w:rsidRPr="009F28D9">
        <w:rPr>
          <w:rFonts w:ascii="Times New Roman" w:hAnsi="Times New Roman" w:cs="Times New Roman"/>
          <w:b/>
          <w:bCs/>
        </w:rPr>
        <w:t xml:space="preserve">Whole Slide Image Patching and Stain Normalization </w:t>
      </w:r>
    </w:p>
    <w:p w14:paraId="09ACCCD0" w14:textId="77777777" w:rsidR="009F28D9" w:rsidRPr="009F28D9" w:rsidRDefault="009F28D9" w:rsidP="009F28D9">
      <w:pPr>
        <w:spacing w:line="360" w:lineRule="auto"/>
        <w:rPr>
          <w:rFonts w:ascii="Times New Roman" w:hAnsi="Times New Roman" w:cs="Times New Roman"/>
        </w:rPr>
      </w:pPr>
      <w:r w:rsidRPr="009F28D9">
        <w:rPr>
          <w:rFonts w:ascii="Times New Roman" w:hAnsi="Times New Roman" w:cs="Times New Roman"/>
        </w:rPr>
        <w:t>To efficient process the Whole Slide Images (WSIs), we established an automated preprocessing pipeline. First, we utilized Otsu</w:t>
      </w:r>
      <w:proofErr w:type="gramStart"/>
      <w:r w:rsidRPr="009F28D9">
        <w:rPr>
          <w:rFonts w:ascii="Times New Roman" w:hAnsi="Times New Roman" w:cs="Times New Roman"/>
        </w:rPr>
        <w:t>’</w:t>
      </w:r>
      <w:proofErr w:type="gramEnd"/>
      <w:r w:rsidRPr="009F28D9">
        <w:rPr>
          <w:rFonts w:ascii="Times New Roman" w:hAnsi="Times New Roman" w:cs="Times New Roman"/>
        </w:rPr>
        <w:t xml:space="preserve">s thresholding algorithm at low magnification to generate a tissue foreground mask, thereby automatically filtering out non-informative background regions (e.g., blank glass areas and artifacts). A sliding window strategy was then employed to tessellate tissue regions of interest into fixed-size patches of 256 × 256 pixels, with a defined overlap ratio to mitigate edge effects during downstream model inference. To address the H&amp;E staining variations (i.e., batch effects) prevalent across different samples, we implemented the </w:t>
      </w:r>
      <w:proofErr w:type="spellStart"/>
      <w:r w:rsidRPr="009F28D9">
        <w:rPr>
          <w:rFonts w:ascii="Times New Roman" w:hAnsi="Times New Roman" w:cs="Times New Roman"/>
        </w:rPr>
        <w:t>Macenko</w:t>
      </w:r>
      <w:proofErr w:type="spellEnd"/>
      <w:r w:rsidRPr="009F28D9">
        <w:rPr>
          <w:rFonts w:ascii="Times New Roman" w:hAnsi="Times New Roman" w:cs="Times New Roman"/>
        </w:rPr>
        <w:t xml:space="preserve"> stain normalization algorithm. This method relies on Optical Density (OD) space transformation to mathematically separate the Hematoxylin and Eosin channels, aligning the color distribution of all patches to a standard reference template. This step significantly reduced the interference of staining heterogeneity on the deep learning model, ensuring the consistency and robustness of feature extraction.</w:t>
      </w:r>
    </w:p>
    <w:p w14:paraId="4539ED8D" w14:textId="0B99F520" w:rsidR="009F28D9" w:rsidRPr="009F28D9" w:rsidRDefault="009F28D9" w:rsidP="009F28D9">
      <w:pPr>
        <w:spacing w:line="360" w:lineRule="auto"/>
        <w:rPr>
          <w:rFonts w:ascii="Times New Roman" w:hAnsi="Times New Roman" w:cs="Times New Roman"/>
          <w:b/>
          <w:bCs/>
        </w:rPr>
      </w:pPr>
      <w:r w:rsidRPr="009F28D9">
        <w:rPr>
          <w:rFonts w:ascii="Times New Roman" w:hAnsi="Times New Roman" w:cs="Times New Roman"/>
          <w:b/>
          <w:bCs/>
        </w:rPr>
        <w:t xml:space="preserve">Image Preprocessing and Deep Learning-based Nuclei Segmentation </w:t>
      </w:r>
    </w:p>
    <w:p w14:paraId="5A5B1795" w14:textId="77777777" w:rsidR="009F28D9" w:rsidRPr="009F28D9" w:rsidRDefault="009F28D9" w:rsidP="009F28D9">
      <w:pPr>
        <w:spacing w:line="360" w:lineRule="auto"/>
        <w:rPr>
          <w:rFonts w:ascii="Times New Roman" w:hAnsi="Times New Roman" w:cs="Times New Roman"/>
        </w:rPr>
      </w:pPr>
      <w:r w:rsidRPr="009F28D9">
        <w:rPr>
          <w:rFonts w:ascii="Times New Roman" w:hAnsi="Times New Roman" w:cs="Times New Roman"/>
        </w:rPr>
        <w:t xml:space="preserve">We employed the </w:t>
      </w:r>
      <w:proofErr w:type="spellStart"/>
      <w:r w:rsidRPr="009F28D9">
        <w:rPr>
          <w:rFonts w:ascii="Times New Roman" w:hAnsi="Times New Roman" w:cs="Times New Roman"/>
        </w:rPr>
        <w:t>HoVer</w:t>
      </w:r>
      <w:proofErr w:type="spellEnd"/>
      <w:r w:rsidRPr="009F28D9">
        <w:rPr>
          <w:rFonts w:ascii="Times New Roman" w:hAnsi="Times New Roman" w:cs="Times New Roman"/>
        </w:rPr>
        <w:t xml:space="preserve">-Net (Horizontal-Vertical Net) deep learning architecture to achieve single-cell precision analysis within complex tissue backgrounds. By simultaneously predicting horizontal and vertical distance maps of nuclei, this model effectively addresses the challenge of segmenting overlapping nuclei. We utilized weights pre-trained on the large-scale </w:t>
      </w:r>
      <w:proofErr w:type="spellStart"/>
      <w:r w:rsidRPr="009F28D9">
        <w:rPr>
          <w:rFonts w:ascii="Times New Roman" w:hAnsi="Times New Roman" w:cs="Times New Roman"/>
        </w:rPr>
        <w:t>PanNuke</w:t>
      </w:r>
      <w:proofErr w:type="spellEnd"/>
      <w:r w:rsidRPr="009F28D9">
        <w:rPr>
          <w:rFonts w:ascii="Times New Roman" w:hAnsi="Times New Roman" w:cs="Times New Roman"/>
        </w:rPr>
        <w:t xml:space="preserve"> dataset, which contains over 200,000 diverse nuclei annotations. Through the inference process, the model automatically extracts precise morphological boundaries for each nucleus and categorizes them into five classes: neoplastic (tumor), inflammatory (lymphocyte/immune), connective (stromal), dead (necrotic), and epithelial cells. To validate the segmentation performance, we conducted visual inspections on randomly sampled fields of view; results demonstrated that the model accurately delineates the contours of different cell types.</w:t>
      </w:r>
    </w:p>
    <w:p w14:paraId="73A49567" w14:textId="2C5D8B1E" w:rsidR="009F28D9" w:rsidRPr="009F28D9" w:rsidRDefault="009F28D9" w:rsidP="009F28D9">
      <w:pPr>
        <w:spacing w:line="360" w:lineRule="auto"/>
        <w:rPr>
          <w:rFonts w:ascii="Times New Roman" w:hAnsi="Times New Roman" w:cs="Times New Roman"/>
          <w:b/>
          <w:bCs/>
        </w:rPr>
      </w:pPr>
      <w:r w:rsidRPr="009F28D9">
        <w:rPr>
          <w:rFonts w:ascii="Times New Roman" w:hAnsi="Times New Roman" w:cs="Times New Roman"/>
          <w:b/>
          <w:bCs/>
        </w:rPr>
        <w:t xml:space="preserve">Digital Reconstruction and Quantitative Analysis of the Tumor Microenvironment </w:t>
      </w:r>
    </w:p>
    <w:p w14:paraId="0C048E4D" w14:textId="77777777" w:rsidR="009F28D9" w:rsidRPr="009F28D9" w:rsidRDefault="009F28D9" w:rsidP="009F28D9">
      <w:pPr>
        <w:spacing w:line="360" w:lineRule="auto"/>
        <w:rPr>
          <w:rFonts w:ascii="Times New Roman" w:hAnsi="Times New Roman" w:cs="Times New Roman"/>
        </w:rPr>
      </w:pPr>
      <w:r w:rsidRPr="009F28D9">
        <w:rPr>
          <w:rFonts w:ascii="Times New Roman" w:hAnsi="Times New Roman" w:cs="Times New Roman"/>
        </w:rPr>
        <w:t xml:space="preserve">Based on the spatial coordinate data extracted via deep learning, we constructed a Digital Cell Map to eliminate staining variations and background noise interference present in the raw images. This map retains only the centroids of classified nuclei, thereby transforming unstructured pathological images into computable spatial point data. On this basis, we calculated key prognostic metrics of the tumor microenvironment for each Region of Interest (ROI), including the Tumor-Stroma Ratio </w:t>
      </w:r>
      <w:r w:rsidRPr="009F28D9">
        <w:rPr>
          <w:rFonts w:ascii="Times New Roman" w:hAnsi="Times New Roman" w:cs="Times New Roman"/>
        </w:rPr>
        <w:lastRenderedPageBreak/>
        <w:t>(TSR) and Tumor-Infiltrating Lymphocyte (TIL) density. TSR is defined as the ratio of the number of tumor cells to the total number of stromal and immune cells, while TIL density quantifies the intensity of the local immune response by calculating the absolute number of lymphocytes per unit area, providing a quantitative foundation for subsequent spatial heterogeneity analysis.</w:t>
      </w:r>
    </w:p>
    <w:p w14:paraId="25D3D972" w14:textId="58631078" w:rsidR="009F28D9" w:rsidRPr="009F28D9" w:rsidRDefault="009F28D9" w:rsidP="009F28D9">
      <w:pPr>
        <w:spacing w:line="360" w:lineRule="auto"/>
        <w:rPr>
          <w:rFonts w:ascii="Times New Roman" w:hAnsi="Times New Roman" w:cs="Times New Roman"/>
          <w:b/>
          <w:bCs/>
        </w:rPr>
      </w:pPr>
      <w:r w:rsidRPr="009F28D9">
        <w:rPr>
          <w:rFonts w:ascii="Times New Roman" w:hAnsi="Times New Roman" w:cs="Times New Roman"/>
          <w:b/>
          <w:bCs/>
        </w:rPr>
        <w:t xml:space="preserve">Spatial Heatmap Analysis of Immune Infiltration Based on Kernel Density Estimation </w:t>
      </w:r>
    </w:p>
    <w:p w14:paraId="4B49AA1A" w14:textId="77777777" w:rsidR="009F28D9" w:rsidRPr="009F28D9" w:rsidRDefault="009F28D9" w:rsidP="009F28D9">
      <w:pPr>
        <w:spacing w:line="360" w:lineRule="auto"/>
        <w:rPr>
          <w:rFonts w:ascii="Times New Roman" w:hAnsi="Times New Roman" w:cs="Times New Roman"/>
        </w:rPr>
      </w:pPr>
      <w:r w:rsidRPr="009F28D9">
        <w:rPr>
          <w:rFonts w:ascii="Times New Roman" w:hAnsi="Times New Roman" w:cs="Times New Roman"/>
        </w:rPr>
        <w:t>To further visualize the spatial heterogeneity of immune cells in tumor tissues and identify "immune hotspots," this study introduced the Kernel Density Estimation (KDE) algorithm from spatial statistics. We employed a Gaussian kernel function to smoothly model the spatial distribution of identified immune cells, generating a continuous probability density function. The calculated density values were mapped to a "fire" color scale (</w:t>
      </w:r>
      <w:proofErr w:type="spellStart"/>
      <w:r w:rsidRPr="009F28D9">
        <w:rPr>
          <w:rFonts w:ascii="Times New Roman" w:hAnsi="Times New Roman" w:cs="Times New Roman"/>
        </w:rPr>
        <w:t>OrRd</w:t>
      </w:r>
      <w:proofErr w:type="spellEnd"/>
      <w:r w:rsidRPr="009F28D9">
        <w:rPr>
          <w:rFonts w:ascii="Times New Roman" w:hAnsi="Times New Roman" w:cs="Times New Roman"/>
        </w:rPr>
        <w:t xml:space="preserve"> Colormap) and superimposed onto the original H&amp;E images using image fusion techniques. To enhance visual contrast, the original images underwent brightness correction processing. In the resulting overlay images, deep orange-red regions represent areas with high-density immune cell accumulation (i.e., immune-active zones), while transparent or light-colored regions represent immune-cold zones. This spatial heatmap intuitively reveals the spatial correspondence between immune infiltration and tumor anatomical structures (such as tumor nest margins and peri-necrotic areas), overcoming the limitations of traditional cell counting in reflecting spatial distribution characteristics.</w:t>
      </w:r>
    </w:p>
    <w:p w14:paraId="640F906B" w14:textId="76948F1B" w:rsidR="009F28D9" w:rsidRPr="009F28D9" w:rsidRDefault="009F28D9" w:rsidP="009F28D9">
      <w:pPr>
        <w:spacing w:line="360" w:lineRule="auto"/>
        <w:rPr>
          <w:rFonts w:ascii="Times New Roman" w:hAnsi="Times New Roman" w:cs="Times New Roman"/>
          <w:b/>
          <w:bCs/>
        </w:rPr>
      </w:pPr>
      <w:r w:rsidRPr="009F28D9">
        <w:rPr>
          <w:rFonts w:ascii="Times New Roman" w:hAnsi="Times New Roman" w:cs="Times New Roman"/>
          <w:b/>
          <w:bCs/>
        </w:rPr>
        <w:t xml:space="preserve">Cellular-Level Pathological Marker Validation </w:t>
      </w:r>
    </w:p>
    <w:p w14:paraId="0BB464B9" w14:textId="44244511" w:rsidR="005D6BF6" w:rsidRPr="009F28D9" w:rsidRDefault="009F28D9" w:rsidP="009F28D9">
      <w:pPr>
        <w:spacing w:line="360" w:lineRule="auto"/>
        <w:rPr>
          <w:rFonts w:ascii="Times New Roman" w:hAnsi="Times New Roman" w:cs="Times New Roman"/>
        </w:rPr>
      </w:pPr>
      <w:r w:rsidRPr="009F28D9">
        <w:rPr>
          <w:rFonts w:ascii="Times New Roman" w:hAnsi="Times New Roman" w:cs="Times New Roman"/>
        </w:rPr>
        <w:t>To provide intuitive pathological evidence of the algorithmic results and verify the authenticity of the "hotspot" regions, we generated high-resolution cellular marker fusion maps. After softening the original H&amp;E images (reducing saturation and increasing brightness) to highlight foreground targets, we displayed individual immune cells identified by the model using high-contrast orange-red marker points. This visualization step clearly demonstrates the exact location of every lymphocyte captured by the algorithm within the tissue. It confirms that the high-density regions in the aforementioned heatmaps are indeed formed by real lymphocyte aggregation rather than staining artifacts or necrotic debris interference, thereby ensuring the pathological accuracy of the analysis results.</w:t>
      </w:r>
    </w:p>
    <w:sectPr w:rsidR="005D6BF6" w:rsidRPr="009F28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5650E" w14:textId="77777777" w:rsidR="001A2E42" w:rsidRDefault="001A2E42" w:rsidP="009F28D9">
      <w:pPr>
        <w:rPr>
          <w:rFonts w:hint="eastAsia"/>
        </w:rPr>
      </w:pPr>
      <w:r>
        <w:separator/>
      </w:r>
    </w:p>
  </w:endnote>
  <w:endnote w:type="continuationSeparator" w:id="0">
    <w:p w14:paraId="0B2B69CE" w14:textId="77777777" w:rsidR="001A2E42" w:rsidRDefault="001A2E42" w:rsidP="009F28D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DA20E" w14:textId="77777777" w:rsidR="001A2E42" w:rsidRDefault="001A2E42" w:rsidP="009F28D9">
      <w:pPr>
        <w:rPr>
          <w:rFonts w:hint="eastAsia"/>
        </w:rPr>
      </w:pPr>
      <w:r>
        <w:separator/>
      </w:r>
    </w:p>
  </w:footnote>
  <w:footnote w:type="continuationSeparator" w:id="0">
    <w:p w14:paraId="78270708" w14:textId="77777777" w:rsidR="001A2E42" w:rsidRDefault="001A2E42" w:rsidP="009F28D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6C7A5014-3D9F-4DB6-9A14-F4C5AF0145BD}"/>
    <w:docVar w:name="KY_MEDREF_VERSION" w:val="3"/>
  </w:docVars>
  <w:rsids>
    <w:rsidRoot w:val="00887325"/>
    <w:rsid w:val="00107637"/>
    <w:rsid w:val="001A2E42"/>
    <w:rsid w:val="005D6BF6"/>
    <w:rsid w:val="00887325"/>
    <w:rsid w:val="00970853"/>
    <w:rsid w:val="009F28D9"/>
    <w:rsid w:val="00C33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A4E9E"/>
  <w15:chartTrackingRefBased/>
  <w15:docId w15:val="{2C6357CC-62C4-44EC-ABF4-0440D48C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8732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8732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8732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8732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87325"/>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887325"/>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8732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8732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8732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8732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8732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8732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87325"/>
    <w:rPr>
      <w:rFonts w:cstheme="majorBidi"/>
      <w:color w:val="0F4761" w:themeColor="accent1" w:themeShade="BF"/>
      <w:sz w:val="28"/>
      <w:szCs w:val="28"/>
    </w:rPr>
  </w:style>
  <w:style w:type="character" w:customStyle="1" w:styleId="50">
    <w:name w:val="标题 5 字符"/>
    <w:basedOn w:val="a0"/>
    <w:link w:val="5"/>
    <w:uiPriority w:val="9"/>
    <w:semiHidden/>
    <w:rsid w:val="00887325"/>
    <w:rPr>
      <w:rFonts w:cstheme="majorBidi"/>
      <w:color w:val="0F4761" w:themeColor="accent1" w:themeShade="BF"/>
      <w:sz w:val="24"/>
      <w:szCs w:val="24"/>
    </w:rPr>
  </w:style>
  <w:style w:type="character" w:customStyle="1" w:styleId="60">
    <w:name w:val="标题 6 字符"/>
    <w:basedOn w:val="a0"/>
    <w:link w:val="6"/>
    <w:uiPriority w:val="9"/>
    <w:semiHidden/>
    <w:rsid w:val="00887325"/>
    <w:rPr>
      <w:rFonts w:cstheme="majorBidi"/>
      <w:b/>
      <w:bCs/>
      <w:color w:val="0F4761" w:themeColor="accent1" w:themeShade="BF"/>
    </w:rPr>
  </w:style>
  <w:style w:type="character" w:customStyle="1" w:styleId="70">
    <w:name w:val="标题 7 字符"/>
    <w:basedOn w:val="a0"/>
    <w:link w:val="7"/>
    <w:uiPriority w:val="9"/>
    <w:semiHidden/>
    <w:rsid w:val="00887325"/>
    <w:rPr>
      <w:rFonts w:cstheme="majorBidi"/>
      <w:b/>
      <w:bCs/>
      <w:color w:val="595959" w:themeColor="text1" w:themeTint="A6"/>
    </w:rPr>
  </w:style>
  <w:style w:type="character" w:customStyle="1" w:styleId="80">
    <w:name w:val="标题 8 字符"/>
    <w:basedOn w:val="a0"/>
    <w:link w:val="8"/>
    <w:uiPriority w:val="9"/>
    <w:semiHidden/>
    <w:rsid w:val="00887325"/>
    <w:rPr>
      <w:rFonts w:cstheme="majorBidi"/>
      <w:color w:val="595959" w:themeColor="text1" w:themeTint="A6"/>
    </w:rPr>
  </w:style>
  <w:style w:type="character" w:customStyle="1" w:styleId="90">
    <w:name w:val="标题 9 字符"/>
    <w:basedOn w:val="a0"/>
    <w:link w:val="9"/>
    <w:uiPriority w:val="9"/>
    <w:semiHidden/>
    <w:rsid w:val="00887325"/>
    <w:rPr>
      <w:rFonts w:eastAsiaTheme="majorEastAsia" w:cstheme="majorBidi"/>
      <w:color w:val="595959" w:themeColor="text1" w:themeTint="A6"/>
    </w:rPr>
  </w:style>
  <w:style w:type="paragraph" w:styleId="a3">
    <w:name w:val="Title"/>
    <w:basedOn w:val="a"/>
    <w:next w:val="a"/>
    <w:link w:val="a4"/>
    <w:uiPriority w:val="10"/>
    <w:qFormat/>
    <w:rsid w:val="0088732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873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732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873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7325"/>
    <w:pPr>
      <w:spacing w:before="160" w:after="160"/>
      <w:jc w:val="center"/>
    </w:pPr>
    <w:rPr>
      <w:i/>
      <w:iCs/>
      <w:color w:val="404040" w:themeColor="text1" w:themeTint="BF"/>
    </w:rPr>
  </w:style>
  <w:style w:type="character" w:customStyle="1" w:styleId="a8">
    <w:name w:val="引用 字符"/>
    <w:basedOn w:val="a0"/>
    <w:link w:val="a7"/>
    <w:uiPriority w:val="29"/>
    <w:rsid w:val="00887325"/>
    <w:rPr>
      <w:i/>
      <w:iCs/>
      <w:color w:val="404040" w:themeColor="text1" w:themeTint="BF"/>
    </w:rPr>
  </w:style>
  <w:style w:type="paragraph" w:styleId="a9">
    <w:name w:val="List Paragraph"/>
    <w:basedOn w:val="a"/>
    <w:uiPriority w:val="34"/>
    <w:qFormat/>
    <w:rsid w:val="00887325"/>
    <w:pPr>
      <w:ind w:left="720"/>
      <w:contextualSpacing/>
    </w:pPr>
  </w:style>
  <w:style w:type="character" w:styleId="aa">
    <w:name w:val="Intense Emphasis"/>
    <w:basedOn w:val="a0"/>
    <w:uiPriority w:val="21"/>
    <w:qFormat/>
    <w:rsid w:val="00887325"/>
    <w:rPr>
      <w:i/>
      <w:iCs/>
      <w:color w:val="0F4761" w:themeColor="accent1" w:themeShade="BF"/>
    </w:rPr>
  </w:style>
  <w:style w:type="paragraph" w:styleId="ab">
    <w:name w:val="Intense Quote"/>
    <w:basedOn w:val="a"/>
    <w:next w:val="a"/>
    <w:link w:val="ac"/>
    <w:uiPriority w:val="30"/>
    <w:qFormat/>
    <w:rsid w:val="00887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87325"/>
    <w:rPr>
      <w:i/>
      <w:iCs/>
      <w:color w:val="0F4761" w:themeColor="accent1" w:themeShade="BF"/>
    </w:rPr>
  </w:style>
  <w:style w:type="character" w:styleId="ad">
    <w:name w:val="Intense Reference"/>
    <w:basedOn w:val="a0"/>
    <w:uiPriority w:val="32"/>
    <w:qFormat/>
    <w:rsid w:val="00887325"/>
    <w:rPr>
      <w:b/>
      <w:bCs/>
      <w:smallCaps/>
      <w:color w:val="0F4761" w:themeColor="accent1" w:themeShade="BF"/>
      <w:spacing w:val="5"/>
    </w:rPr>
  </w:style>
  <w:style w:type="paragraph" w:styleId="ae">
    <w:name w:val="header"/>
    <w:basedOn w:val="a"/>
    <w:link w:val="af"/>
    <w:uiPriority w:val="99"/>
    <w:unhideWhenUsed/>
    <w:rsid w:val="009F28D9"/>
    <w:pPr>
      <w:tabs>
        <w:tab w:val="center" w:pos="4153"/>
        <w:tab w:val="right" w:pos="8306"/>
      </w:tabs>
      <w:snapToGrid w:val="0"/>
      <w:jc w:val="center"/>
    </w:pPr>
    <w:rPr>
      <w:sz w:val="18"/>
      <w:szCs w:val="18"/>
    </w:rPr>
  </w:style>
  <w:style w:type="character" w:customStyle="1" w:styleId="af">
    <w:name w:val="页眉 字符"/>
    <w:basedOn w:val="a0"/>
    <w:link w:val="ae"/>
    <w:uiPriority w:val="99"/>
    <w:rsid w:val="009F28D9"/>
    <w:rPr>
      <w:sz w:val="18"/>
      <w:szCs w:val="18"/>
    </w:rPr>
  </w:style>
  <w:style w:type="paragraph" w:styleId="af0">
    <w:name w:val="footer"/>
    <w:basedOn w:val="a"/>
    <w:link w:val="af1"/>
    <w:uiPriority w:val="99"/>
    <w:unhideWhenUsed/>
    <w:rsid w:val="009F28D9"/>
    <w:pPr>
      <w:tabs>
        <w:tab w:val="center" w:pos="4153"/>
        <w:tab w:val="right" w:pos="8306"/>
      </w:tabs>
      <w:snapToGrid w:val="0"/>
      <w:jc w:val="left"/>
    </w:pPr>
    <w:rPr>
      <w:sz w:val="18"/>
      <w:szCs w:val="18"/>
    </w:rPr>
  </w:style>
  <w:style w:type="character" w:customStyle="1" w:styleId="af1">
    <w:name w:val="页脚 字符"/>
    <w:basedOn w:val="a0"/>
    <w:link w:val="af0"/>
    <w:uiPriority w:val="99"/>
    <w:rsid w:val="009F28D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800</Words>
  <Characters>4307</Characters>
  <Application>Microsoft Office Word</Application>
  <DocSecurity>0</DocSecurity>
  <Lines>331</Lines>
  <Paragraphs>319</Paragraphs>
  <ScaleCrop>false</ScaleCrop>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 峒林</dc:creator>
  <cp:keywords/>
  <dc:description/>
  <cp:lastModifiedBy>潘 峒林</cp:lastModifiedBy>
  <cp:revision>2</cp:revision>
  <dcterms:created xsi:type="dcterms:W3CDTF">2026-05-04T09:12:00Z</dcterms:created>
  <dcterms:modified xsi:type="dcterms:W3CDTF">2026-05-04T09:16:00Z</dcterms:modified>
</cp:coreProperties>
</file>