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3DD" w14:textId="77777777" w:rsidR="00381F63" w:rsidRDefault="00381F63" w:rsidP="00381F63">
      <w:pPr>
        <w:jc w:val="center"/>
        <w:rPr>
          <w:rFonts w:ascii="SimSun" w:eastAsia="SimSun" w:hAnsi="SimSun" w:cs="SimSun"/>
          <w:color w:val="000000"/>
          <w:sz w:val="21"/>
          <w:szCs w:val="21"/>
        </w:rPr>
      </w:pPr>
      <w:r>
        <w:rPr>
          <w:rFonts w:ascii="Times New Roman" w:hAnsi="SimSun" w:cs="SimSun" w:hint="eastAsia"/>
          <w:color w:val="000000"/>
          <w:sz w:val="21"/>
          <w:szCs w:val="21"/>
        </w:rPr>
        <w:t>Table 3-1 Distribution of tuberculosis patients with comorbid diabetes among different population groups in Bao'an District, Shenzhen from 2016 to 2024</w:t>
      </w:r>
    </w:p>
    <w:tbl>
      <w:tblPr>
        <w:tblStyle w:val="TableGrid"/>
        <w:tblpPr w:leftFromText="180" w:rightFromText="180" w:vertAnchor="text" w:horzAnchor="page" w:tblpXSpec="center" w:tblpY="313"/>
        <w:tblOverlap w:val="never"/>
        <w:tblW w:w="8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763"/>
        <w:gridCol w:w="1487"/>
        <w:gridCol w:w="1503"/>
        <w:gridCol w:w="2287"/>
      </w:tblGrid>
      <w:tr w:rsidR="00381F63" w14:paraId="3F864866" w14:textId="77777777" w:rsidTr="00996C10">
        <w:trPr>
          <w:trHeight w:val="269"/>
          <w:jc w:val="center"/>
        </w:trPr>
        <w:tc>
          <w:tcPr>
            <w:tcW w:w="1079" w:type="dxa"/>
            <w:vMerge w:val="restart"/>
            <w:tcBorders>
              <w:top w:val="single" w:sz="4" w:space="0" w:color="auto"/>
            </w:tcBorders>
          </w:tcPr>
          <w:p w14:paraId="2199BF1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Year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</w:tcBorders>
          </w:tcPr>
          <w:p w14:paraId="2244ABF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 xml:space="preserve"> Population type</w:t>
            </w:r>
          </w:p>
        </w:tc>
      </w:tr>
      <w:tr w:rsidR="00381F63" w14:paraId="2469A152" w14:textId="77777777" w:rsidTr="00996C10">
        <w:trPr>
          <w:trHeight w:val="272"/>
          <w:jc w:val="center"/>
        </w:trPr>
        <w:tc>
          <w:tcPr>
            <w:tcW w:w="1079" w:type="dxa"/>
            <w:vMerge/>
          </w:tcPr>
          <w:p w14:paraId="1D943BD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14:paraId="5AC83EDB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Local population</w:t>
            </w:r>
          </w:p>
        </w:tc>
        <w:tc>
          <w:tcPr>
            <w:tcW w:w="3790" w:type="dxa"/>
            <w:gridSpan w:val="2"/>
            <w:tcBorders>
              <w:bottom w:val="single" w:sz="4" w:space="0" w:color="auto"/>
            </w:tcBorders>
          </w:tcPr>
          <w:p w14:paraId="4F2047A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Migrant population</w:t>
            </w:r>
          </w:p>
        </w:tc>
      </w:tr>
      <w:tr w:rsidR="00381F63" w14:paraId="09AFC053" w14:textId="77777777" w:rsidTr="00996C10">
        <w:trPr>
          <w:trHeight w:val="901"/>
          <w:jc w:val="center"/>
        </w:trPr>
        <w:tc>
          <w:tcPr>
            <w:tcW w:w="1079" w:type="dxa"/>
            <w:vMerge/>
            <w:tcBorders>
              <w:bottom w:val="single" w:sz="4" w:space="0" w:color="auto"/>
            </w:tcBorders>
          </w:tcPr>
          <w:p w14:paraId="035E7D7E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5B00EED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Comorbid diabetes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DD6899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  <w:p w14:paraId="3A6837A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No comorbid diabetes</w:t>
            </w:r>
          </w:p>
          <w:p w14:paraId="4B2BA91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50252E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Comorbid diabetes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25347F88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  <w:p w14:paraId="6A0D3CAD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No comorbid diabetes</w:t>
            </w:r>
          </w:p>
          <w:p w14:paraId="18DDA28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</w:p>
        </w:tc>
      </w:tr>
      <w:tr w:rsidR="00381F63" w14:paraId="2A4D0C9F" w14:textId="77777777" w:rsidTr="00996C10">
        <w:trPr>
          <w:trHeight w:val="548"/>
          <w:jc w:val="center"/>
        </w:trPr>
        <w:tc>
          <w:tcPr>
            <w:tcW w:w="1079" w:type="dxa"/>
            <w:tcBorders>
              <w:top w:val="single" w:sz="4" w:space="0" w:color="auto"/>
            </w:tcBorders>
          </w:tcPr>
          <w:p w14:paraId="3671EFFE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2016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4C10B3D2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37CF633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2A1F273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0.94%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  <w:tcBorders>
              <w:top w:val="single" w:sz="4" w:space="0" w:color="auto"/>
            </w:tcBorders>
          </w:tcPr>
          <w:p w14:paraId="082FBC0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1049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99.06%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7A5C45F7" w14:textId="77777777" w:rsidTr="00996C10">
        <w:trPr>
          <w:jc w:val="center"/>
        </w:trPr>
        <w:tc>
          <w:tcPr>
            <w:tcW w:w="1079" w:type="dxa"/>
          </w:tcPr>
          <w:p w14:paraId="68E9EC7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2017</w:t>
            </w:r>
          </w:p>
        </w:tc>
        <w:tc>
          <w:tcPr>
            <w:tcW w:w="1763" w:type="dxa"/>
          </w:tcPr>
          <w:p w14:paraId="7120FCEC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8.08%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1993E15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91.92%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5937DCBB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2.61%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4F1BD8E2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1156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97.39%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53D13431" w14:textId="77777777" w:rsidTr="00996C10">
        <w:trPr>
          <w:jc w:val="center"/>
        </w:trPr>
        <w:tc>
          <w:tcPr>
            <w:tcW w:w="1079" w:type="dxa"/>
          </w:tcPr>
          <w:p w14:paraId="40F51C3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2018</w:t>
            </w:r>
          </w:p>
        </w:tc>
        <w:tc>
          <w:tcPr>
            <w:tcW w:w="1763" w:type="dxa"/>
          </w:tcPr>
          <w:p w14:paraId="1647B9F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6.38%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58B58EEB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93.62%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4838BFF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3.25%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4428299D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983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96.75%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3A47B6AB" w14:textId="77777777" w:rsidTr="00996C10">
        <w:trPr>
          <w:jc w:val="center"/>
        </w:trPr>
        <w:tc>
          <w:tcPr>
            <w:tcW w:w="1079" w:type="dxa"/>
          </w:tcPr>
          <w:p w14:paraId="1BCC1292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2019</w:t>
            </w:r>
          </w:p>
        </w:tc>
        <w:tc>
          <w:tcPr>
            <w:tcW w:w="1763" w:type="dxa"/>
          </w:tcPr>
          <w:p w14:paraId="7EF12B8C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11.01%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0520A92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97(88.99%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5104EF7D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4.90%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4564777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1009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95.10%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7012EA3F" w14:textId="77777777" w:rsidTr="00996C10">
        <w:trPr>
          <w:jc w:val="center"/>
        </w:trPr>
        <w:tc>
          <w:tcPr>
            <w:tcW w:w="1079" w:type="dxa"/>
          </w:tcPr>
          <w:p w14:paraId="6C379EED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2020</w:t>
            </w:r>
          </w:p>
        </w:tc>
        <w:tc>
          <w:tcPr>
            <w:tcW w:w="1763" w:type="dxa"/>
          </w:tcPr>
          <w:p w14:paraId="2CD8DE0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7.63%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16C9F2E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92.37%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5C796622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6.21%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384FFFBE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93.79%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5E521A41" w14:textId="77777777" w:rsidTr="00996C10">
        <w:trPr>
          <w:jc w:val="center"/>
        </w:trPr>
        <w:tc>
          <w:tcPr>
            <w:tcW w:w="1079" w:type="dxa"/>
          </w:tcPr>
          <w:p w14:paraId="20B16501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2021</w:t>
            </w:r>
          </w:p>
        </w:tc>
        <w:tc>
          <w:tcPr>
            <w:tcW w:w="1763" w:type="dxa"/>
          </w:tcPr>
          <w:p w14:paraId="507CA36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6.98%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5896015B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93.02%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0DBEF6D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7.84%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720FAC4E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92.16%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3A5A9EF1" w14:textId="77777777" w:rsidTr="00996C10">
        <w:trPr>
          <w:jc w:val="center"/>
        </w:trPr>
        <w:tc>
          <w:tcPr>
            <w:tcW w:w="1079" w:type="dxa"/>
          </w:tcPr>
          <w:p w14:paraId="0EC61B7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2022</w:t>
            </w:r>
          </w:p>
        </w:tc>
        <w:tc>
          <w:tcPr>
            <w:tcW w:w="1763" w:type="dxa"/>
          </w:tcPr>
          <w:p w14:paraId="611759C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14.81%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57DBE2B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85.19%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29953B88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8.45%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5D199AF5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856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91.55%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4E9C8914" w14:textId="77777777" w:rsidTr="00996C10">
        <w:trPr>
          <w:jc w:val="center"/>
        </w:trPr>
        <w:tc>
          <w:tcPr>
            <w:tcW w:w="1079" w:type="dxa"/>
          </w:tcPr>
          <w:p w14:paraId="419059A5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2023</w:t>
            </w:r>
          </w:p>
        </w:tc>
        <w:tc>
          <w:tcPr>
            <w:tcW w:w="1763" w:type="dxa"/>
          </w:tcPr>
          <w:p w14:paraId="59CBDD7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9.87%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</w:tcPr>
          <w:p w14:paraId="7CFC05D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137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90.13%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</w:tcPr>
          <w:p w14:paraId="6B79846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9.39%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</w:tcPr>
          <w:p w14:paraId="2FD9B90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868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90.61%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5FE636F0" w14:textId="77777777" w:rsidTr="00996C10">
        <w:trPr>
          <w:jc w:val="center"/>
        </w:trPr>
        <w:tc>
          <w:tcPr>
            <w:tcW w:w="1079" w:type="dxa"/>
            <w:tcBorders>
              <w:bottom w:val="single" w:sz="4" w:space="0" w:color="auto"/>
            </w:tcBorders>
          </w:tcPr>
          <w:p w14:paraId="664392F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2024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968F6C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10.64%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ACEFD5D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89.36%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1DABBE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12.77%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4F67E5C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847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87.23%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467D8D06" w14:textId="77777777" w:rsidTr="00996C10">
        <w:trPr>
          <w:jc w:val="center"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14:paraId="1DD691D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Total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6D51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1050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10.21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93B8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9234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89.79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72C38B38" w14:textId="77777777" w:rsidTr="00996C10">
        <w:trPr>
          <w:jc w:val="center"/>
        </w:trPr>
        <w:tc>
          <w:tcPr>
            <w:tcW w:w="1079" w:type="dxa"/>
            <w:tcBorders>
              <w:top w:val="single" w:sz="4" w:space="0" w:color="auto"/>
            </w:tcBorders>
          </w:tcPr>
          <w:p w14:paraId="5997F6F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χ²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 xml:space="preserve"> for trend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</w:tcBorders>
          </w:tcPr>
          <w:p w14:paraId="35EB69FB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2.908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</w:tcBorders>
          </w:tcPr>
          <w:p w14:paraId="234D97C1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195.066</w:t>
            </w:r>
          </w:p>
        </w:tc>
      </w:tr>
      <w:tr w:rsidR="00381F63" w14:paraId="7E18E8E4" w14:textId="77777777" w:rsidTr="00996C10">
        <w:trPr>
          <w:jc w:val="center"/>
        </w:trPr>
        <w:tc>
          <w:tcPr>
            <w:tcW w:w="1079" w:type="dxa"/>
            <w:tcBorders>
              <w:bottom w:val="single" w:sz="4" w:space="0" w:color="auto"/>
            </w:tcBorders>
          </w:tcPr>
          <w:p w14:paraId="52C0E7D1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P value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14:paraId="4D8A1C29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0.088</w:t>
            </w:r>
          </w:p>
        </w:tc>
        <w:tc>
          <w:tcPr>
            <w:tcW w:w="3790" w:type="dxa"/>
            <w:gridSpan w:val="2"/>
            <w:tcBorders>
              <w:bottom w:val="single" w:sz="4" w:space="0" w:color="auto"/>
            </w:tcBorders>
          </w:tcPr>
          <w:p w14:paraId="4667259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＜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0.001</w:t>
            </w:r>
          </w:p>
        </w:tc>
      </w:tr>
    </w:tbl>
    <w:p w14:paraId="1CAB5C08" w14:textId="77777777" w:rsidR="00381F63" w:rsidRDefault="00381F63" w:rsidP="00381F63">
      <w:pPr>
        <w:ind w:firstLineChars="100" w:firstLine="180"/>
        <w:rPr>
          <w:rFonts w:ascii="SimSun" w:eastAsia="SimSun" w:hAnsi="SimSun" w:cs="SimSun"/>
          <w:color w:val="000000"/>
          <w:sz w:val="21"/>
          <w:szCs w:val="21"/>
        </w:rPr>
      </w:pPr>
      <w:r>
        <w:rPr>
          <w:rFonts w:ascii="Times New Roman" w:hAnsi="SimSun" w:cs="SimSun" w:hint="eastAsia"/>
          <w:sz w:val="18"/>
          <w:szCs w:val="18"/>
        </w:rPr>
        <w:t>Note: Values outside parentheses represent "number of patient cases," while values within parentheses indicate "composition percentage (%)."</w:t>
      </w:r>
    </w:p>
    <w:p w14:paraId="74F65347" w14:textId="77777777" w:rsidR="00381F63" w:rsidRDefault="00381F63" w:rsidP="00381F63">
      <w:pPr>
        <w:jc w:val="center"/>
        <w:rPr>
          <w:rFonts w:ascii="Times New Roman" w:hAnsi="SimSun" w:cs="SimSun"/>
          <w:color w:val="000000"/>
          <w:sz w:val="21"/>
          <w:szCs w:val="21"/>
        </w:rPr>
      </w:pPr>
    </w:p>
    <w:p w14:paraId="28E5C9B9" w14:textId="77777777" w:rsidR="00381F63" w:rsidRDefault="00381F63" w:rsidP="00381F63">
      <w:pPr>
        <w:rPr>
          <w:rFonts w:ascii="Times New Roman" w:hAnsi="SimSun" w:cs="SimSun"/>
          <w:color w:val="000000"/>
          <w:sz w:val="21"/>
          <w:szCs w:val="21"/>
        </w:rPr>
      </w:pPr>
    </w:p>
    <w:p w14:paraId="12788CA9" w14:textId="77777777" w:rsidR="00381F63" w:rsidRDefault="00381F63" w:rsidP="00381F63">
      <w:pPr>
        <w:jc w:val="center"/>
        <w:rPr>
          <w:rFonts w:ascii="Times New Roman" w:hAnsi="SimSun" w:cs="SimSun"/>
          <w:color w:val="000000"/>
          <w:sz w:val="21"/>
          <w:szCs w:val="21"/>
        </w:rPr>
      </w:pPr>
    </w:p>
    <w:p w14:paraId="35B8E9B1" w14:textId="77777777" w:rsidR="00381F63" w:rsidRDefault="00381F63" w:rsidP="00381F63">
      <w:pPr>
        <w:jc w:val="center"/>
        <w:rPr>
          <w:rFonts w:ascii="Times New Roman" w:hAnsi="SimSun" w:cs="SimSun"/>
          <w:color w:val="000000"/>
          <w:sz w:val="21"/>
          <w:szCs w:val="21"/>
        </w:rPr>
      </w:pPr>
      <w:r>
        <w:rPr>
          <w:rFonts w:ascii="Times New Roman" w:hAnsi="SimSun" w:cs="SimSun" w:hint="eastAsia"/>
          <w:color w:val="000000"/>
          <w:sz w:val="21"/>
          <w:szCs w:val="21"/>
        </w:rPr>
        <w:t>Table 3-2 Distribution of tuberculosis patients with comorbidity of diabetes across different age groups in Bao'an District, Shenzhen, from 2016 to 2024</w:t>
      </w:r>
    </w:p>
    <w:tbl>
      <w:tblPr>
        <w:tblStyle w:val="TableGrid"/>
        <w:tblpPr w:leftFromText="180" w:rightFromText="180" w:vertAnchor="text" w:horzAnchor="page" w:tblpXSpec="center" w:tblpY="1201"/>
        <w:tblOverlap w:val="never"/>
        <w:tblW w:w="853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75"/>
        <w:gridCol w:w="1387"/>
        <w:gridCol w:w="1300"/>
        <w:gridCol w:w="1324"/>
        <w:gridCol w:w="1338"/>
        <w:gridCol w:w="1362"/>
      </w:tblGrid>
      <w:tr w:rsidR="00381F63" w14:paraId="71F56468" w14:textId="77777777" w:rsidTr="00996C10">
        <w:trPr>
          <w:jc w:val="center"/>
        </w:trPr>
        <w:tc>
          <w:tcPr>
            <w:tcW w:w="651" w:type="dxa"/>
            <w:vMerge w:val="restart"/>
          </w:tcPr>
          <w:p w14:paraId="11E9EAEB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Year</w:t>
            </w:r>
          </w:p>
        </w:tc>
        <w:tc>
          <w:tcPr>
            <w:tcW w:w="7886" w:type="dxa"/>
            <w:gridSpan w:val="6"/>
          </w:tcPr>
          <w:p w14:paraId="55E5F503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Age group (years)</w:t>
            </w:r>
          </w:p>
        </w:tc>
      </w:tr>
      <w:tr w:rsidR="00381F63" w14:paraId="352C3484" w14:textId="77777777" w:rsidTr="00996C10">
        <w:trPr>
          <w:jc w:val="center"/>
        </w:trPr>
        <w:tc>
          <w:tcPr>
            <w:tcW w:w="651" w:type="dxa"/>
            <w:vMerge/>
          </w:tcPr>
          <w:p w14:paraId="6E19CE5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6F0D8A16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＜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30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</w:tcPr>
          <w:p w14:paraId="75776DE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30-59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01BFC66F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≥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60</w:t>
            </w:r>
          </w:p>
        </w:tc>
      </w:tr>
      <w:tr w:rsidR="00381F63" w14:paraId="53DA6840" w14:textId="77777777" w:rsidTr="00996C10">
        <w:trPr>
          <w:trHeight w:val="90"/>
          <w:jc w:val="center"/>
        </w:trPr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7BE77B87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A7AD723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color w:val="000000"/>
                <w:kern w:val="2"/>
                <w:sz w:val="18"/>
                <w:szCs w:val="18"/>
              </w:rPr>
              <w:t xml:space="preserve">Comorbid diabetes 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559C4589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No comorbid diabetes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724814B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color w:val="000000"/>
                <w:kern w:val="2"/>
                <w:sz w:val="18"/>
                <w:szCs w:val="18"/>
              </w:rPr>
              <w:t xml:space="preserve">Comorbid diabetes 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7E8102FE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No comorbid diabetes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65CC7E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color w:val="000000"/>
                <w:kern w:val="2"/>
                <w:sz w:val="18"/>
                <w:szCs w:val="18"/>
              </w:rPr>
              <w:t xml:space="preserve">Comorbid diabetes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06EC07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No comorbid diabetes</w:t>
            </w:r>
          </w:p>
        </w:tc>
      </w:tr>
      <w:tr w:rsidR="00381F63" w14:paraId="31CB7C53" w14:textId="77777777" w:rsidTr="00996C10">
        <w:trPr>
          <w:trHeight w:val="603"/>
          <w:jc w:val="center"/>
        </w:trPr>
        <w:tc>
          <w:tcPr>
            <w:tcW w:w="651" w:type="dxa"/>
            <w:tcBorders>
              <w:top w:val="single" w:sz="4" w:space="0" w:color="auto"/>
            </w:tcBorders>
          </w:tcPr>
          <w:p w14:paraId="7CDE42F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75BC67F4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0.20%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57ECF4A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491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99.80%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38726BA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1.61%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897EBD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550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98.39%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173F3D3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3(4.41%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701D5ED1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95.59%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4E381AC7" w14:textId="77777777" w:rsidTr="00996C10">
        <w:trPr>
          <w:jc w:val="center"/>
        </w:trPr>
        <w:tc>
          <w:tcPr>
            <w:tcW w:w="651" w:type="dxa"/>
          </w:tcPr>
          <w:p w14:paraId="666D547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2017</w:t>
            </w:r>
          </w:p>
        </w:tc>
        <w:tc>
          <w:tcPr>
            <w:tcW w:w="1175" w:type="dxa"/>
          </w:tcPr>
          <w:p w14:paraId="0B4F4589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0.18%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7B2B517D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567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99.82%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47E21581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4.33%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475FE1A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596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95.67%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4461DF0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11.58%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79B5CAF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88.42%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22A33BFA" w14:textId="77777777" w:rsidTr="00996C10">
        <w:trPr>
          <w:jc w:val="center"/>
        </w:trPr>
        <w:tc>
          <w:tcPr>
            <w:tcW w:w="651" w:type="dxa"/>
          </w:tcPr>
          <w:p w14:paraId="5968353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2018</w:t>
            </w:r>
          </w:p>
        </w:tc>
        <w:tc>
          <w:tcPr>
            <w:tcW w:w="1175" w:type="dxa"/>
          </w:tcPr>
          <w:p w14:paraId="0DCE283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0.45%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38E8B5E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445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99.55%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5296E0B7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0137B41C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532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95.00%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510551A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8.74%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541AC924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91.26%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3BA8DF8E" w14:textId="77777777" w:rsidTr="00996C10">
        <w:trPr>
          <w:jc w:val="center"/>
        </w:trPr>
        <w:tc>
          <w:tcPr>
            <w:tcW w:w="651" w:type="dxa"/>
          </w:tcPr>
          <w:p w14:paraId="6B40ADC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14:paraId="2B5686F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0.22%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3184F1C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449(99.78%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543C014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8.10%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1D0B1F6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579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91.90%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4EBF5A0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13.33%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1DED823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86.67%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191AA761" w14:textId="77777777" w:rsidTr="00996C10">
        <w:trPr>
          <w:jc w:val="center"/>
        </w:trPr>
        <w:tc>
          <w:tcPr>
            <w:tcW w:w="651" w:type="dxa"/>
          </w:tcPr>
          <w:p w14:paraId="58951C2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2020</w:t>
            </w:r>
          </w:p>
        </w:tc>
        <w:tc>
          <w:tcPr>
            <w:tcW w:w="1175" w:type="dxa"/>
          </w:tcPr>
          <w:p w14:paraId="6B67097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0.20%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6AE41F7B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501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99.80%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4C98A38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10.33%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16C53C0C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512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89.67%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279D43F8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18.06%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57454FF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81.94%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5EC4DD55" w14:textId="77777777" w:rsidTr="00996C10">
        <w:trPr>
          <w:jc w:val="center"/>
        </w:trPr>
        <w:tc>
          <w:tcPr>
            <w:tcW w:w="651" w:type="dxa"/>
          </w:tcPr>
          <w:p w14:paraId="2E94017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2021</w:t>
            </w:r>
          </w:p>
        </w:tc>
        <w:tc>
          <w:tcPr>
            <w:tcW w:w="1175" w:type="dxa"/>
          </w:tcPr>
          <w:p w14:paraId="7F09FCA9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0.93%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3D2EE0F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425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99.07%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4A78800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68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10.59%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0BD362E9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574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89.41%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47862F21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18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19.78%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01CADE7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80.22%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4F34330C" w14:textId="77777777" w:rsidTr="00996C10">
        <w:trPr>
          <w:jc w:val="center"/>
        </w:trPr>
        <w:tc>
          <w:tcPr>
            <w:tcW w:w="651" w:type="dxa"/>
          </w:tcPr>
          <w:p w14:paraId="416BF3E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2022</w:t>
            </w:r>
          </w:p>
        </w:tc>
        <w:tc>
          <w:tcPr>
            <w:tcW w:w="1175" w:type="dxa"/>
          </w:tcPr>
          <w:p w14:paraId="6577BBB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0.27%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3D69C93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369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，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1E599D2D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12.69%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6EEF786C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516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87.31%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73EBC67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21.10%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37298731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78.90%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13A06173" w14:textId="77777777" w:rsidTr="00996C10">
        <w:trPr>
          <w:jc w:val="center"/>
        </w:trPr>
        <w:tc>
          <w:tcPr>
            <w:tcW w:w="651" w:type="dxa"/>
          </w:tcPr>
          <w:p w14:paraId="209741CE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2023</w:t>
            </w:r>
          </w:p>
        </w:tc>
        <w:tc>
          <w:tcPr>
            <w:tcW w:w="1175" w:type="dxa"/>
          </w:tcPr>
          <w:p w14:paraId="65C44BA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0.30%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</w:tcPr>
          <w:p w14:paraId="369670DA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332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99.70%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</w:tcPr>
          <w:p w14:paraId="44741D5B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80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12.18%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</w:tcPr>
          <w:p w14:paraId="359714C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577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87.82%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</w:tcPr>
          <w:p w14:paraId="0006207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</w:tcPr>
          <w:p w14:paraId="06194CB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96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80.00%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209E1CEB" w14:textId="77777777" w:rsidTr="00996C10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</w:tcPr>
          <w:p w14:paraId="0AC7219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2024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45F35C0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0.62%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239DBD05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319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99.38%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756927EC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102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15.81%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5E2D7ED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543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84.19%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1267225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35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23.97%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199C6A13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111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76.03%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54F19E8B" w14:textId="77777777" w:rsidTr="00996C10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6CC817D2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Total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6B2D2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3912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38.04)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712E8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5478(53.27)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D2858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894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8.69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）</w:t>
            </w:r>
          </w:p>
        </w:tc>
      </w:tr>
      <w:tr w:rsidR="00381F63" w14:paraId="64E1BC83" w14:textId="77777777" w:rsidTr="00996C10">
        <w:trPr>
          <w:jc w:val="center"/>
        </w:trPr>
        <w:tc>
          <w:tcPr>
            <w:tcW w:w="651" w:type="dxa"/>
            <w:tcBorders>
              <w:top w:val="single" w:sz="4" w:space="0" w:color="auto"/>
            </w:tcBorders>
          </w:tcPr>
          <w:p w14:paraId="545C2DF6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χ²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 xml:space="preserve"> for trend</w:t>
            </w:r>
          </w:p>
          <w:p w14:paraId="6F5C0CAF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</w:tcBorders>
          </w:tcPr>
          <w:p w14:paraId="395F7901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1.278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</w:tcPr>
          <w:p w14:paraId="1EB1F6B4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114.390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C521AFA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21.155</w:t>
            </w:r>
          </w:p>
        </w:tc>
      </w:tr>
      <w:tr w:rsidR="00381F63" w14:paraId="147398F4" w14:textId="77777777" w:rsidTr="00996C10">
        <w:trPr>
          <w:jc w:val="center"/>
        </w:trPr>
        <w:tc>
          <w:tcPr>
            <w:tcW w:w="651" w:type="dxa"/>
          </w:tcPr>
          <w:p w14:paraId="4309E9AC" w14:textId="77777777" w:rsidR="00381F63" w:rsidRDefault="00381F63" w:rsidP="00996C10">
            <w:pPr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P value</w:t>
            </w:r>
          </w:p>
        </w:tc>
        <w:tc>
          <w:tcPr>
            <w:tcW w:w="2562" w:type="dxa"/>
            <w:gridSpan w:val="2"/>
          </w:tcPr>
          <w:p w14:paraId="6E563D87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0.258</w:t>
            </w:r>
          </w:p>
        </w:tc>
        <w:tc>
          <w:tcPr>
            <w:tcW w:w="2624" w:type="dxa"/>
            <w:gridSpan w:val="2"/>
          </w:tcPr>
          <w:p w14:paraId="7D836045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＜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0.001</w:t>
            </w:r>
          </w:p>
        </w:tc>
        <w:tc>
          <w:tcPr>
            <w:tcW w:w="2700" w:type="dxa"/>
            <w:gridSpan w:val="2"/>
          </w:tcPr>
          <w:p w14:paraId="34113D90" w14:textId="77777777" w:rsidR="00381F63" w:rsidRDefault="00381F63" w:rsidP="00996C10">
            <w:pPr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＜</w:t>
            </w:r>
            <w:r>
              <w:rPr>
                <w:rFonts w:ascii="Times New Roman" w:hAnsi="SimSun" w:cs="SimSun" w:hint="eastAsia"/>
                <w:kern w:val="2"/>
                <w:sz w:val="18"/>
                <w:szCs w:val="18"/>
              </w:rPr>
              <w:t>0.001</w:t>
            </w:r>
          </w:p>
        </w:tc>
      </w:tr>
    </w:tbl>
    <w:p w14:paraId="31BF81BD" w14:textId="77777777" w:rsidR="00381F63" w:rsidRDefault="00381F63" w:rsidP="00381F63">
      <w:pPr>
        <w:ind w:firstLineChars="100" w:firstLine="180"/>
        <w:rPr>
          <w:rFonts w:ascii="SimSun" w:eastAsia="SimSun" w:hAnsi="SimSun" w:cs="Times New Roman"/>
          <w:sz w:val="21"/>
        </w:rPr>
        <w:sectPr w:rsidR="00381F63" w:rsidSect="00381F63">
          <w:pgSz w:w="11906" w:h="16838"/>
          <w:pgMar w:top="1440" w:right="1797" w:bottom="1440" w:left="1797" w:header="851" w:footer="992" w:gutter="0"/>
          <w:cols w:space="0"/>
          <w:titlePg/>
          <w:docGrid w:type="lines" w:linePitch="387"/>
        </w:sectPr>
      </w:pPr>
      <w:r>
        <w:rPr>
          <w:rFonts w:ascii="Times New Roman" w:hAnsi="SimSun" w:cs="SimSun" w:hint="eastAsia"/>
          <w:sz w:val="18"/>
          <w:szCs w:val="18"/>
        </w:rPr>
        <w:t>Note: Values outside parentheses represent "number of patient cases," while values within parentheses indicate "composition percentage (%).</w:t>
      </w:r>
    </w:p>
    <w:p w14:paraId="2E86FB6B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63"/>
    <w:rsid w:val="000C4033"/>
    <w:rsid w:val="00173ED8"/>
    <w:rsid w:val="002F50B1"/>
    <w:rsid w:val="00381F63"/>
    <w:rsid w:val="004B42CB"/>
    <w:rsid w:val="005F2B46"/>
    <w:rsid w:val="006E1731"/>
    <w:rsid w:val="00777E94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EF16"/>
  <w15:chartTrackingRefBased/>
  <w15:docId w15:val="{016FE0B9-697B-4E94-AE3F-4531804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63"/>
    <w:pPr>
      <w:widowControl w:val="0"/>
      <w:spacing w:before="60" w:after="60" w:line="240" w:lineRule="auto"/>
      <w:jc w:val="both"/>
    </w:pPr>
    <w:rPr>
      <w:rFonts w:ascii="Arial" w:eastAsia="Microsoft YaHei" w:hAnsi="Arial" w:cs="Arial"/>
      <w:color w:val="333333"/>
      <w:sz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F6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6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63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63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63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63"/>
    <w:pPr>
      <w:keepNext/>
      <w:keepLines/>
      <w:widowControl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63"/>
    <w:pPr>
      <w:keepNext/>
      <w:keepLines/>
      <w:widowControl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63"/>
    <w:pPr>
      <w:keepNext/>
      <w:keepLines/>
      <w:widowControl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63"/>
    <w:pPr>
      <w:keepNext/>
      <w:keepLines/>
      <w:widowControl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63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63"/>
    <w:pPr>
      <w:widowControl/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6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F63"/>
    <w:pPr>
      <w:widowControl/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381F6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2026-06-26T00:48:00Z</dcterms:created>
  <dcterms:modified xsi:type="dcterms:W3CDTF">2026-06-26T00:48:00Z</dcterms:modified>
</cp:coreProperties>
</file>