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Calibri" w:hAnsi="Calibri"/>
          <w:b/>
          <w:color w:val="17365D"/>
          <w:sz w:val="44"/>
        </w:rPr>
        <w:t>ADDITIONAL FILE 1</w:t>
      </w:r>
    </w:p>
    <w:p>
      <w:pPr>
        <w:spacing w:after="160"/>
      </w:pPr>
      <w:r>
        <w:rPr>
          <w:rFonts w:ascii="Calibri" w:hAnsi="Calibri"/>
          <w:b/>
          <w:color w:val="2E74B5"/>
          <w:sz w:val="28"/>
        </w:rPr>
        <w:t>Retained methodological specification and aggregate exploratory machine-learning results</w:t>
      </w:r>
    </w:p>
    <w:p>
      <w:r>
        <w:t>Associated manuscript: A wearable multi-task prefrontal functional near-infrared spectroscopy methodology for studying mild traumatic brain injury: a human-subject pilot implementation</w:t>
      </w:r>
    </w:p>
    <w:p>
      <w:r>
        <w:t>Purpose. Part I consolidates technical details preserved in the retained manuscript and thesis documentation. Part II preserves the aggregate machine-learning results for transparency. This combined file does not reconstruct missing participant-level data, executable code, quality-control decisions, fold assignments, or the complete 864-column feature dictionary.</w:t>
      </w:r>
    </w:p>
    <w:p>
      <w:pPr>
        <w:pStyle w:val="Heading1"/>
      </w:pPr>
      <w:r>
        <w:t>Part I. Retained methodological specification</w:t>
      </w:r>
    </w:p>
    <w:p>
      <w:pPr>
        <w:pStyle w:val="Heading1"/>
        <w:keepNext/>
      </w:pPr>
      <w:r>
        <w:t>Table M1. Wearable fNIRS system 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type="dxa" w:w="120"/>
      </w:tblPr>
      <w:tblGrid>
        <w:gridCol w:w="2600"/>
        <w:gridCol w:w="6760"/>
      </w:tblGrid>
      <w:tr>
        <w:trPr>
          <w:cantSplit/>
          <w:tblHeader w:val="true"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Parameter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7"/>
              </w:rPr>
              <w:t>Retained specification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Modality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Continuous-wave fNIRS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Source module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Marubeni America L4*730/4*805/4*850-40Q96; 730 and 850 nm used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Reported optical output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Approximately 2-4 mW average output; retained document reports 7-V drive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Detector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Texas Instruments OPT101 monolithic photodetector with integrated operational amplifier; photosensitive area 2.29 × 2.29 mm²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Source-detector separation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30 mm, fixed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Channels and locations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Four channels, approximately F7, Fp1, Fp2, and F8 (international 10-20 system)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Sampling rate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17 Hz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Controller and data link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ESP32 microcontroller; Bluetooth transmission to laptop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Host software functions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Connection control, source-intensity adjustment, real-time signal display, task selection/control, and CSV storage with task timing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Headform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Padded modified commercial VR headset with adjustable rear dial and elastic straps; exact base model, dimensions, weight, and setup time not retained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Power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Mobile power supply through micro-USB, 5 V; retained documentation also identifies HW-183 boost and TLC5916 driver modules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Not retained</w:t>
            </w:r>
          </w:p>
        </w:tc>
        <w:tc>
          <w:tcPr>
            <w:tcW w:type="dxa" w:w="676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7"/>
              </w:rPr>
              <w:t>ADC resolution, absolute calibration protocol, quantitative coupling comparison, channel-yield criteria, artifact burden, and setup time</w:t>
            </w:r>
          </w:p>
        </w:tc>
      </w:tr>
    </w:tbl>
    <w:p>
      <w:pPr>
        <w:pStyle w:val="Heading1"/>
      </w:pPr>
      <w:r>
        <w:t>Figure M1. Retained wearable system layout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8954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vice_headset_layou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54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Retained engineering image showing the modified VR-headset structure, four 30-mm source-detector channels, and approximate prefrontal locations. The structure was designed to support fit and contact; no comparative artifact-reduction or signal-quality claim is made.</w:t>
      </w:r>
    </w:p>
    <w:p>
      <w:pPr>
        <w:pStyle w:val="Heading1"/>
        <w:keepNext/>
      </w:pPr>
      <w:r>
        <w:t>Table M2. Programmed four-task cognitive protocol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type="dxa" w:w="120"/>
      </w:tblPr>
      <w:tblGrid>
        <w:gridCol w:w="1000"/>
        <w:gridCol w:w="2650"/>
        <w:gridCol w:w="5710"/>
      </w:tblGrid>
      <w:tr>
        <w:trPr>
          <w:cantSplit/>
          <w:tblHeader w:val="true"/>
        </w:trPr>
        <w:tc>
          <w:tcPr>
            <w:tcW w:type="dxa" w:w="10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Task</w:t>
            </w:r>
          </w:p>
        </w:tc>
        <w:tc>
          <w:tcPr>
            <w:tcW w:type="dxa" w:w="26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Programmed timing</w:t>
            </w:r>
          </w:p>
        </w:tc>
        <w:tc>
          <w:tcPr>
            <w:tcW w:type="dxa" w:w="57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Stimulus and response details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VFT</w:t>
            </w:r>
          </w:p>
        </w:tc>
        <w:tc>
          <w:tcPr>
            <w:tcW w:type="dxa" w:w="26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30-s eyes-closed rest; 60-s task; 70-s eyes-closed recovery (160 s)</w:t>
            </w:r>
          </w:p>
        </w:tc>
        <w:tc>
          <w:tcPr>
            <w:tcW w:type="dxa" w:w="57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Three 20-s overt phonetic-cue periods. One cue was selected from each of three retained Bopomofo phonetic pools. Participants generated as many words as possible; a 3-s auditory warning preceded the task.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CT</w:t>
            </w:r>
          </w:p>
        </w:tc>
        <w:tc>
          <w:tcPr>
            <w:tcW w:type="dxa" w:w="26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Five rounds × 60 s: 5-s eyes-open rest; 30-s task; 5-s reinforcement; 20-s eyes-closed recovery (300 s)</w:t>
            </w:r>
          </w:p>
        </w:tc>
        <w:tc>
          <w:tcPr>
            <w:tcW w:type="dxa" w:w="57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An airplane moved across the screen; its height was mapped to frontal ΔHbO2. A rise threshold of 0.25 μM above the resting mean caused ascent. Participants attempted to maintain the airplane in the upper third. A green circle or red cross provided reinforcement; a 3-s piano cue marked the end of recovery.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MAT</w:t>
            </w:r>
          </w:p>
        </w:tc>
        <w:tc>
          <w:tcPr>
            <w:tcW w:type="dxa" w:w="26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30-s eyes-closed rest; 180-s task; 60-s eyes-closed recovery (270 s)</w:t>
            </w:r>
          </w:p>
        </w:tc>
        <w:tc>
          <w:tcPr>
            <w:tcW w:type="dxa" w:w="57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Three-digit ± two-digit multiple-choice arithmetic. Each item comprised 1-s display, 3-s thinking/countdown, 1-s left/right response, and immediate green-circle, red-cross, or question-mark feedback.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SSST</w:t>
            </w:r>
          </w:p>
        </w:tc>
        <w:tc>
          <w:tcPr>
            <w:tcW w:type="dxa" w:w="26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Six rounds × 50 s: 5-s fixation; 30-s task; 15-s eyes-closed recovery (300 s)</w:t>
            </w:r>
          </w:p>
        </w:tc>
        <w:tc>
          <w:tcPr>
            <w:tcW w:type="dxa" w:w="57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Participants clicked randomly positioned numbered targets in order. The first two rounds used 4 and 6 targets; the remaining four used 8. Correct selections produced an auditory cue; repeated or incorrect selections were logged. A 3-s piano cue marked the end of recovery.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Session total</w:t>
            </w:r>
          </w:p>
        </w:tc>
        <w:tc>
          <w:tcPr>
            <w:tcW w:type="dxa" w:w="26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1030 s (approximately 17.2 min), excluding setup and transitions</w:t>
            </w:r>
          </w:p>
        </w:tc>
        <w:tc>
          <w:tcPr>
            <w:tcW w:type="dxa" w:w="57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Retained documentation describes the sequence VFT, CT, MAT, and SSST. Setup time, inter-task transition time, tolerability measures, and complete behavioral-performance data were not retained.</w:t>
            </w:r>
          </w:p>
        </w:tc>
      </w:tr>
    </w:tbl>
    <w:p>
      <w:pPr>
        <w:pStyle w:val="Heading1"/>
        <w:keepNext/>
      </w:pPr>
      <w:r>
        <w:t>Table M3. Stage-aware processing and representation workflow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type="dxa" w:w="120"/>
      </w:tblPr>
      <w:tblGrid>
        <w:gridCol w:w="700"/>
        <w:gridCol w:w="5050"/>
        <w:gridCol w:w="3610"/>
      </w:tblGrid>
      <w:tr>
        <w:trPr>
          <w:cantSplit/>
          <w:tblHeader w:val="true"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5"/>
              </w:rPr>
              <w:t>Step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5"/>
              </w:rPr>
              <w:t>Retained method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5"/>
              </w:rPr>
              <w:t>Reproducibility boundary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Raw optical intensity → optical density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Exact software implementation not retained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2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TDDR motion correction [1] applied to optical density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Quality-control thresholds and channel-rejection decisions not retained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Modified Beer-Lambert law → ΔHbO2 and ΔHHb; 30-mm distance; DPF 6.0172 at 730 nm and 4.9399 at 850 nm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Extinction-coefficient table and exact code not retained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4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Fourth-order Butterworth low-pass at 0.1 Hz using forward-backward zero-phase filtering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No separate high-pass filter is documented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5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Baseline correction by subtracting the mean of the corresponding pre-task rest interval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Defined in retained documentation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6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Min-max normalization: (x − xmin)/(xmax − xmin), with extrema described across the analysed time series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Exact participant/channel/task grouping used by the original software not retained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7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>Reconstructable vector-derived signals [2,3]: ΔCBV=(ΔHHb+ΔHbO2)/√2; ΔCOE=(ΔHHb−ΔHbO2)/√2; |L|=√[(ΔCOE)²+(ΔCBV)²]. The retained thesis also records Angle K=arctan(ΔCOE/ΔCBV).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>Angle K cannot be fully reconstructed: the positive-ΔO reference-axis conversion, quadrant handling, phase assignment, and behavior at ΔCBV=0 were not preserved.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8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Stage segmentation: rest, task, reinforcement where applicable, and recovery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Programmed timing retained in Table M2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9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>Documented feature families were applied to ΔHbO2, ΔHHb, ΔCBV, ΔCOE, |L|, and the legacy Angle K feature across four channels.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r>
              <w:t>The original manuscript reports 864 candidates, but the Angle K implementation and a one-to-one 864-column map cannot be reconstructed.</w:t>
            </w:r>
          </w:p>
        </w:tc>
      </w:tr>
      <w:tr>
        <w:trPr>
          <w:cantSplit/>
        </w:trPr>
        <w:tc>
          <w:tcPr>
            <w:tcW w:type="dxa" w:w="70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10</w:t>
            </w:r>
          </w:p>
        </w:tc>
        <w:tc>
          <w:tcPr>
            <w:tcW w:type="dxa" w:w="505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Secondary exploratory univariate screen and classifier evaluation</w:t>
            </w:r>
          </w:p>
        </w:tc>
        <w:tc>
          <w:tcPr>
            <w:tcW w:type="dxa" w:w="3610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5"/>
              </w:rPr>
              <w:t>Participant-level data, executable pipeline, seeds, folds, grids, versions, and fully nested validation unavailable</w:t>
            </w:r>
          </w:p>
        </w:tc>
      </w:tr>
    </w:tbl>
    <w:p>
      <w:pPr>
        <w:pStyle w:val="Heading1"/>
      </w:pPr>
      <w:r>
        <w:t>Reproducibility statement</w:t>
      </w:r>
    </w:p>
    <w:p>
      <w:pPr/>
      <w:r>
        <w:t>The retained records permit partial methodological reconstruction of the acquisition hardware, programmed task timing, principal signal-processing sequence, and the ΔCBV, ΔCOE, and |L| equations. They do not permit reconstruction of Angle K phase handling or computational reproduction of the participant-level machine-learning analysis. The feature count of 864 is preserved as an aggregate result and is not presented as a reconciled column-level dictionary.</w:t>
      </w:r>
    </w:p>
    <w:p>
      <w:pPr>
        <w:pStyle w:val="Heading1"/>
      </w:pPr>
      <w:r>
        <w:t>References supporting the retained processing description</w:t>
      </w:r>
    </w:p>
    <w:p>
      <w:r>
        <w:t>1. Fishburn FA, Ludlum RS, Vaidya CJ, Medvedev AV. Temporal derivative distribution repair (TDDR): a motion correction method for fNIRS. NeuroImage. 2019;184:171-179.</w:t>
      </w:r>
    </w:p>
    <w:p>
      <w:r>
        <w:t>2. Oka N, Yoshino K, Yamamoto K, et al. Greater activity in the frontal cortex on left curves: a vector-based fNIRS study of left and right curve driving. PLoS One. 2015;10(5):e0127594.</w:t>
      </w:r>
    </w:p>
    <w:p>
      <w:r>
        <w:t>3. Nazeer H, Naseer N, Khan RA, et al. Enhancing classification accuracy of fNIRS-BCI using features acquired from vector-based phase analysis. J Neural Eng. 2020;17(5):056025.</w:t>
      </w:r>
    </w:p>
    <w:p>
      <w:pPr>
        <w:pStyle w:val="Heading1"/>
        <w:pageBreakBefore/>
      </w:pPr>
      <w:r>
        <w:t>Part II. Retained aggregate exploratory machine-learning results</w:t>
      </w:r>
    </w:p>
    <w:p>
      <w:r>
        <w:t>The following results are preserved from the original exploratory analysis. Feature and model selection was not fully nested, the holdout set contained only four participants, and participant-level scores were unavailable for reanalysis. These results do not establish model superiority, diagnostic validation, or incremental value beyond demographics.</w:t>
      </w:r>
    </w:p>
    <w:p>
      <w:pPr>
        <w:pStyle w:val="Heading1"/>
        <w:keepNext/>
      </w:pPr>
      <w:r>
        <w:t>Table S1. Task-wise retained descriptive performance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type="dxa" w:w="120"/>
      </w:tblPr>
      <w:tblGrid>
        <w:gridCol w:w="1700"/>
        <w:gridCol w:w="1900"/>
        <w:gridCol w:w="1900"/>
        <w:gridCol w:w="1930"/>
        <w:gridCol w:w="1930"/>
      </w:tblGrid>
      <w:tr>
        <w:trPr>
          <w:cantSplit/>
          <w:tblHeader w:val="true"/>
        </w:trPr>
        <w:tc>
          <w:tcPr>
            <w:tcW w:type="dxa" w:w="17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Task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Retained model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Train (%)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Validation (%)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Holdout (%)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VFT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SVM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100 +/- 0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67 +/- 17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CT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SVM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100 +/- 0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78 +/- 5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50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MAT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XGB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90 +/- 5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67 +/- 8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SSST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MLP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85 +/- 12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81 +/- 13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50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VFT, CT, MAT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KNN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99 +/- 2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72 +/- 5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50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VFT, CT, MAT, SSST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MLP</w:t>
            </w:r>
          </w:p>
        </w:tc>
        <w:tc>
          <w:tcPr>
            <w:tcW w:type="dxa" w:w="19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93 +/- 9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 +/- 0</w:t>
            </w:r>
          </w:p>
        </w:tc>
        <w:tc>
          <w:tcPr>
            <w:tcW w:type="dxa" w:w="193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</w:tr>
    </w:tbl>
    <w:p>
      <w:pPr/>
      <w:r>
        <w:t>All holdout percentages are based on four participants. Model and task-combination selection was not nested within an independent evaluation framework. The retained record did not specify whether the “+/-” values represented standard deviation or another dispersion measure; they are reproduced descriptively as originally reported.</w:t>
      </w:r>
    </w:p>
    <w:p>
      <w:pPr>
        <w:pStyle w:val="Heading1"/>
        <w:keepNext/>
      </w:pPr>
      <w:r>
        <w:t>Table S2. Retained combined-task MLP internal-validation results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type="dxa" w:w="120"/>
      </w:tblPr>
      <w:tblGrid>
        <w:gridCol w:w="1050"/>
        <w:gridCol w:w="1600"/>
        <w:gridCol w:w="1600"/>
        <w:gridCol w:w="1550"/>
        <w:gridCol w:w="1550"/>
        <w:gridCol w:w="2010"/>
      </w:tblGrid>
      <w:tr>
        <w:trPr>
          <w:cantSplit/>
          <w:tblHeader w:val="true"/>
        </w:trPr>
        <w:tc>
          <w:tcPr>
            <w:tcW w:type="dxa" w:w="10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Fold</w:t>
            </w:r>
          </w:p>
        </w:tc>
        <w:tc>
          <w:tcPr>
            <w:tcW w:type="dxa" w:w="16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Accuracy (%)</w:t>
            </w:r>
          </w:p>
        </w:tc>
        <w:tc>
          <w:tcPr>
            <w:tcW w:type="dxa" w:w="16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Precision (%)</w:t>
            </w:r>
          </w:p>
        </w:tc>
        <w:tc>
          <w:tcPr>
            <w:tcW w:type="dxa" w:w="15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Recall (%)</w:t>
            </w:r>
          </w:p>
        </w:tc>
        <w:tc>
          <w:tcPr>
            <w:tcW w:type="dxa" w:w="15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F1-score (%)</w:t>
            </w:r>
          </w:p>
        </w:tc>
        <w:tc>
          <w:tcPr>
            <w:tcW w:type="dxa" w:w="201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AUC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16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  <w:tc>
          <w:tcPr>
            <w:tcW w:type="dxa" w:w="16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83</w:t>
            </w:r>
          </w:p>
        </w:tc>
        <w:tc>
          <w:tcPr>
            <w:tcW w:type="dxa" w:w="15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  <w:tc>
          <w:tcPr>
            <w:tcW w:type="dxa" w:w="15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73</w:t>
            </w:r>
          </w:p>
        </w:tc>
        <w:tc>
          <w:tcPr>
            <w:tcW w:type="dxa" w:w="201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0.75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type="dxa" w:w="16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  <w:tc>
          <w:tcPr>
            <w:tcW w:type="dxa" w:w="16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76</w:t>
            </w:r>
          </w:p>
        </w:tc>
        <w:tc>
          <w:tcPr>
            <w:tcW w:type="dxa" w:w="15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  <w:tc>
          <w:tcPr>
            <w:tcW w:type="dxa" w:w="15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  <w:tc>
          <w:tcPr>
            <w:tcW w:type="dxa" w:w="201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0.69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3</w:t>
            </w:r>
          </w:p>
        </w:tc>
        <w:tc>
          <w:tcPr>
            <w:tcW w:type="dxa" w:w="16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  <w:tc>
          <w:tcPr>
            <w:tcW w:type="dxa" w:w="16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83</w:t>
            </w:r>
          </w:p>
        </w:tc>
        <w:tc>
          <w:tcPr>
            <w:tcW w:type="dxa" w:w="15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  <w:tc>
          <w:tcPr>
            <w:tcW w:type="dxa" w:w="155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73</w:t>
            </w:r>
          </w:p>
        </w:tc>
        <w:tc>
          <w:tcPr>
            <w:tcW w:type="dxa" w:w="201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0.81</w:t>
            </w:r>
          </w:p>
        </w:tc>
      </w:tr>
    </w:tbl>
    <w:p>
      <w:pPr/>
      <w:r>
        <w:t>Each fold contained 12 participants (6 control and 6 mTBI); 9/12 were correctly classified in each fold (exact 95% CI for accuracy, 42.8%-94.5%). Pooled out-of-fold accuracy was 27/36 (75%; exact 95% CI, 57.8%-87.9%). Precision, recall, and F1-score in Table S2 are macro-averaged across the two classes, as reconstructed from the retained confusion matrices.</w:t>
      </w:r>
    </w:p>
    <w:p>
      <w:pPr>
        <w:pStyle w:val="Heading1"/>
        <w:keepNext/>
      </w:pPr>
      <w:r>
        <w:t>Table S3. Retained aggregate combined-task MLP performance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type="dxa" w:w="120"/>
      </w:tblPr>
      <w:tblGrid>
        <w:gridCol w:w="2400"/>
        <w:gridCol w:w="1740"/>
        <w:gridCol w:w="1740"/>
        <w:gridCol w:w="1740"/>
        <w:gridCol w:w="1740"/>
      </w:tblGrid>
      <w:tr>
        <w:trPr>
          <w:cantSplit/>
          <w:tblHeader w:val="true"/>
        </w:trPr>
        <w:tc>
          <w:tcPr>
            <w:tcW w:type="dxa" w:w="24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Dataset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Accuracy (%)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Precision (%)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Recall (%)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sz w:val="16"/>
              </w:rPr>
              <w:t>F1-score (%)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Train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93 +/- 9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93 +/- 8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93 +/- 9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93 +/- 9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Validation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 +/- 0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 +/- 0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 +/- 0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74 +/- 1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4-participant holdout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sz w:val="16"/>
              </w:rPr>
              <w:t>75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r>
              <w:t>Not reconstructable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r>
              <w:t>Not reconstructable</w:t>
            </w:r>
          </w:p>
        </w:tc>
        <w:tc>
          <w:tcPr>
            <w:tcW w:type="dxa" w:w="1740"/>
            <w:vAlign w:val="center"/>
            <w:tcMar>
              <w:top w:w="85" w:type="dxa"/>
              <w:bottom w:w="85" w:type="dxa"/>
              <w:start w:w="110" w:type="dxa"/>
              <w:end w:w="110" w:type="dxa"/>
            </w:tcMar>
          </w:tcPr>
          <w:p>
            <w:r>
              <w:t>Not reconstructable</w:t>
            </w:r>
          </w:p>
        </w:tc>
      </w:tr>
    </w:tbl>
    <w:p>
      <w:pPr/>
      <w:r>
        <w:t>The holdout accuracy was 3/4 (75%; exact 95% CI, 19.4%-99.4%). Holdout precision, recall, and F1-score could not be reconstructed and are therefore not reported. For the train and validation rows, the retained record did not specify whether the “+/-” values represented standard deviation or another dispersion measure; they are reproduced descriptively as originally reported.</w:t>
      </w:r>
    </w:p>
    <w:p>
      <w:pPr>
        <w:pStyle w:val="Heading1"/>
        <w:keepNext/>
      </w:pPr>
      <w:r>
        <w:t>Figure S1. Retained fold-level confusion matrices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211136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ld_confusion_matrices_fin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1113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/>
      <w:r>
        <w:t>Aggregate confusion matrices for the three original internal-validation folds, relabelled using “Control” rather than “Normal.” Each fold contained 12 participants and 9/12 correct classifications. Retained fold-specific AUC values reported in the original analysis were 0.75, 0.69, and 0.81; these values could not be independently reconstructed because participant-level scores were unavailable. ROC curves were therefore removed.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