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Supplementary File 6: Inclusion/Exclusion Criteria and Quality Appraisal Notes</w:t>
      </w:r>
    </w:p>
    <w:p>
      <w:pPr>
        <w:jc w:val="center"/>
      </w:pPr>
      <w:r>
        <w:rPr>
          <w:i/>
          <w:sz w:val="20"/>
        </w:rPr>
        <w:t>The Emotional Burden of HIV: A Systematic Review of Affective Outcomes in HIV-Positive Populations (2020–2025)</w:t>
      </w:r>
    </w:p>
    <w:p/>
    <w:p>
      <w:pPr>
        <w:pStyle w:val="Heading1"/>
      </w:pPr>
      <w:r>
        <w:t>1. Review question and PICO framework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vAlign w:val="top"/>
            <w:shd w:fill="D9EAF7"/>
          </w:tcPr>
          <w:p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t>PICO element</w:t>
            </w:r>
          </w:p>
        </w:tc>
        <w:tc>
          <w:tcPr>
            <w:tcW w:type="dxa" w:w="5184"/>
            <w:vAlign w:val="top"/>
            <w:shd w:fill="D9EAF7"/>
          </w:tcPr>
          <w:p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t>Operational definition</w:t>
            </w:r>
          </w:p>
        </w:tc>
      </w:tr>
      <w:tr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Population</w:t>
            </w:r>
          </w:p>
        </w:tc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People living with HIV (PLHIV), including adults, adolescents, women, men who have sex with men, older adults, serodiscordant couples, and other HIV-positive subgroups.</w:t>
            </w:r>
          </w:p>
        </w:tc>
      </w:tr>
      <w:tr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Intervention/Exposure</w:t>
            </w:r>
          </w:p>
        </w:tc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Emotional or psychosocial exposures and/or interventions, including depression, anxiety, stigma-related distress, psychological distress, emotional regulation, psychotherapy, psychoeducation, peer support, task-shifted care, and technology-enhanced intervention models.</w:t>
            </w:r>
          </w:p>
        </w:tc>
      </w:tr>
      <w:tr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Comparison</w:t>
            </w:r>
          </w:p>
        </w:tc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Where applicable: usual care, control group, baseline values, comparison populations, or subgroup comparisons. For qualitative and descriptive studies, no formal comparator was required.</w:t>
            </w:r>
          </w:p>
        </w:tc>
      </w:tr>
      <w:tr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Outcomes</w:t>
            </w:r>
          </w:p>
        </w:tc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Emotional and psychological outcomes, treatment adherence, quality of life, HIV care engagement, viral suppression/non-suppression, social support, disclosure, and stigma-related outcomes.</w:t>
            </w:r>
          </w:p>
        </w:tc>
      </w:tr>
    </w:tbl>
    <w:p>
      <w:pPr>
        <w:pStyle w:val="Heading1"/>
      </w:pPr>
      <w:r>
        <w:t>2. Inclusion criteria</w:t>
      </w:r>
    </w:p>
    <w:p>
      <w:pPr>
        <w:pStyle w:val="ListBullet"/>
      </w:pPr>
      <w:r>
        <w:t>Peer-reviewed empirical studies, systematic reviews, meta-analyses, scoping reviews, protocols, pilot studies, and intervention studies relevant to emotional or psychosocial outcomes among PLHIV.</w:t>
      </w:r>
    </w:p>
    <w:p>
      <w:pPr>
        <w:pStyle w:val="ListBullet"/>
      </w:pPr>
      <w:r>
        <w:t>Studies published from January 2020 to December 2025, with selected earlier background references retained only where needed for context.</w:t>
      </w:r>
    </w:p>
    <w:p>
      <w:pPr>
        <w:pStyle w:val="ListBullet"/>
      </w:pPr>
      <w:r>
        <w:t>Studies involving PLHIV as the main population or reporting HIV-specific findings for a clearly identifiable subgroup.</w:t>
      </w:r>
    </w:p>
    <w:p>
      <w:pPr>
        <w:pStyle w:val="ListBullet"/>
      </w:pPr>
      <w:r>
        <w:t>Studies reporting at least one emotional, mental health, psychosocial, stigma-related, quality-of-life, adherence, or HIV care engagement outcome.</w:t>
      </w:r>
    </w:p>
    <w:p>
      <w:pPr>
        <w:pStyle w:val="ListBullet"/>
      </w:pPr>
      <w:r>
        <w:t>Studies available in English or with sufficient English bibliographic/abstract information for eligibility assessment.</w:t>
      </w:r>
    </w:p>
    <w:p>
      <w:pPr>
        <w:pStyle w:val="ListBullet"/>
      </w:pPr>
      <w:r>
        <w:t>Studies with sufficient methodological and outcome information for narrative extraction and thematic synthesis.</w:t>
      </w:r>
    </w:p>
    <w:p>
      <w:pPr>
        <w:pStyle w:val="ListBullet"/>
      </w:pPr>
      <w:r>
        <w:t>Studies directly relevant to the review objectives concerning affective outcomes in HIV-positive populations.</w:t>
      </w:r>
    </w:p>
    <w:p>
      <w:pPr>
        <w:pStyle w:val="Heading1"/>
      </w:pPr>
      <w:r>
        <w:t>3. Exclusion criteria</w:t>
      </w:r>
    </w:p>
    <w:p>
      <w:pPr>
        <w:pStyle w:val="ListBullet"/>
      </w:pPr>
      <w:r>
        <w:t>Records not focused on HIV-positive populations or without a clearly identifiable PLHIV subgroup.</w:t>
      </w:r>
    </w:p>
    <w:p>
      <w:pPr>
        <w:pStyle w:val="ListBullet"/>
      </w:pPr>
      <w:r>
        <w:t>Studies reporting only biomedical, virological, pharmacological, or laboratory outcomes without emotional, psychosocial, mental health, stigma, quality-of-life, or adherence-related outcomes.</w:t>
      </w:r>
    </w:p>
    <w:p>
      <w:pPr>
        <w:pStyle w:val="ListBullet"/>
      </w:pPr>
      <w:r>
        <w:t>Mixed-population studies without HIV-specific findings.</w:t>
      </w:r>
    </w:p>
    <w:p>
      <w:pPr>
        <w:pStyle w:val="ListBullet"/>
      </w:pPr>
      <w:r>
        <w:t>Commentaries, editorials, opinion pieces, conference abstracts without sufficient data, and non-peer-reviewed materials unless used only for contextual background.</w:t>
      </w:r>
    </w:p>
    <w:p>
      <w:pPr>
        <w:pStyle w:val="ListBullet"/>
      </w:pPr>
      <w:r>
        <w:t>Duplicate records, superseded versions, or repeated reports of the same study where a fuller or later report was available.</w:t>
      </w:r>
    </w:p>
    <w:p>
      <w:pPr>
        <w:pStyle w:val="ListBullet"/>
      </w:pPr>
      <w:r>
        <w:t>Studies outside the 2020–2025 window unless retained as background references rather than included studies.</w:t>
      </w:r>
    </w:p>
    <w:p>
      <w:pPr>
        <w:pStyle w:val="ListBullet"/>
      </w:pPr>
      <w:r>
        <w:t>Records with insufficient abstract/full-text information to verify eligibility.</w:t>
      </w:r>
    </w:p>
    <w:p>
      <w:pPr>
        <w:pStyle w:val="Heading1"/>
      </w:pPr>
      <w:r>
        <w:t>4. Quality appraisal framework</w:t>
      </w:r>
    </w:p>
    <w:p>
      <w:r>
        <w:t>Quality appraisal was organised according to study design. The framework below was used to support transparent narrative synthesis and to identify methodological limitations across the included literature.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  <w:vAlign w:val="top"/>
            <w:shd w:fill="D9EAF7"/>
          </w:tcPr>
          <w:p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t>Study type</w:t>
            </w:r>
          </w:p>
        </w:tc>
        <w:tc>
          <w:tcPr>
            <w:tcW w:type="dxa" w:w="5184"/>
            <w:vAlign w:val="top"/>
            <w:shd w:fill="D9EAF7"/>
          </w:tcPr>
          <w:p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t>Appraisal domains</w:t>
            </w:r>
          </w:p>
        </w:tc>
      </w:tr>
      <w:tr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Randomized controlled trials</w:t>
            </w:r>
          </w:p>
        </w:tc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Random sequence generation, allocation concealment, baseline comparability, intervention fidelity, attrition, outcome measurement validity, adherence to intervention, and completeness of reporting.</w:t>
            </w:r>
          </w:p>
        </w:tc>
      </w:tr>
      <w:tr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Cross-sectional studies</w:t>
            </w:r>
          </w:p>
        </w:tc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Sampling strategy, representativeness, response rate, validated measurement tools, confounding, statistical analysis, and clarity of outcome definitions.</w:t>
            </w:r>
          </w:p>
        </w:tc>
      </w:tr>
      <w:tr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Qualitative studies</w:t>
            </w:r>
          </w:p>
        </w:tc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Clarity of research question, appropriateness of design, sampling, data collection, reflexivity, analytic rigour, evidence for themes, and transferability.</w:t>
            </w:r>
          </w:p>
        </w:tc>
      </w:tr>
      <w:tr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Cohort/longitudinal studies</w:t>
            </w:r>
          </w:p>
        </w:tc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Recruitment strategy, follow-up completeness, outcome measurement, confounder control, temporal relationship, and reporting of attrition.</w:t>
            </w:r>
          </w:p>
        </w:tc>
      </w:tr>
      <w:tr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Systematic reviews/meta-analyses/scoping reviews</w:t>
            </w:r>
          </w:p>
        </w:tc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Search strategy, eligibility criteria, duplicate screening, appraisal methods, synthesis method, heterogeneity management, and transparency of included studies.</w:t>
            </w:r>
          </w:p>
        </w:tc>
      </w:tr>
      <w:tr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Protocols/pilot/case studies</w:t>
            </w:r>
          </w:p>
        </w:tc>
        <w:tc>
          <w:tcPr>
            <w:tcW w:type="dxa" w:w="5184"/>
            <w:vAlign w:val="top"/>
          </w:tcPr>
          <w:p>
            <w:r>
              <w:rPr>
                <w:sz w:val="18"/>
              </w:rPr>
            </w:r>
            <w:r>
              <w:rPr>
                <w:b w:val="0"/>
                <w:sz w:val="18"/>
              </w:rPr>
              <w:t>Clarity of design, feasibility objectives, intervention description, participant description, outcome measures, and limitations acknowledged.</w:t>
            </w:r>
          </w:p>
        </w:tc>
      </w:tr>
    </w:tbl>
    <w:p>
      <w:pPr>
        <w:pStyle w:val="Heading1"/>
      </w:pPr>
      <w:r>
        <w:t>5. Notes for interpretation</w:t>
      </w:r>
    </w:p>
    <w:p>
      <w:pPr>
        <w:pStyle w:val="ListBullet"/>
      </w:pPr>
      <w:r>
        <w:t>The review used narrative synthesis rather than pooled meta-analysis; therefore, heterogeneity was considered descriptively across populations, regions, measurement tools, and intervention types.</w:t>
      </w:r>
    </w:p>
    <w:p>
      <w:pPr>
        <w:pStyle w:val="ListBullet"/>
      </w:pPr>
      <w:r>
        <w:t>Publication bias may affect the evidence base because studies with statistically significant or positive intervention findings are more likely to be published.</w:t>
      </w:r>
    </w:p>
    <w:p>
      <w:pPr>
        <w:pStyle w:val="ListBullet"/>
      </w:pPr>
      <w:r>
        <w:t>Geographic representation is uneven; some regions remain underrepresented in the included literature.</w:t>
      </w:r>
    </w:p>
    <w:p>
      <w:pPr>
        <w:pStyle w:val="ListBullet"/>
      </w:pPr>
      <w:r>
        <w:t>For studies already classified as systematic reviews or meta-analyses, appraisal focused on transparency of search, eligibility criteria, synthesis approach, and relevance to the present review question.</w:t>
      </w:r>
    </w:p>
    <w:p>
      <w:pPr>
        <w:pStyle w:val="ListBullet"/>
      </w:pPr>
      <w:r>
        <w:t>Three additional studies have been added to the supporting included-record list as S093–S095 to reconcile the included-study count to 95.</w:t>
      </w:r>
    </w:p>
    <w:sectPr w:rsidR="00FC693F" w:rsidRPr="0006063C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2013-12-23T23:15:00Z</dcterms:created>
  <dcterms:modified xsi:type="dcterms:W3CDTF">2013-12-23T23:15:00Z</dcterms:modified>
  <cp:category/>
  <dc:identifier/>
  <cp:contentStatus/>
  <dc:language>en-US</dc:language>
</cp:coreProperties>
</file>