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Supplementary File 2: PRISMA 2020 Flow Diagram</w:t>
      </w:r>
    </w:p>
    <w:p>
      <w:pPr>
        <w:jc w:val="center"/>
      </w:pPr>
      <w:r>
        <w:rPr>
          <w:i/>
          <w:sz w:val="20"/>
        </w:rPr>
        <w:t>The Emotional Burden of HIV: A Systematic Review of Affective Outcomes in HIV-Positive Populations (2020–2025)</w:t>
      </w:r>
    </w:p>
    <w:p>
      <w:r>
        <w:drawing>
          <wp:inline xmlns:a="http://schemas.openxmlformats.org/drawingml/2006/main" xmlns:pic="http://schemas.openxmlformats.org/drawingml/2006/picture">
            <wp:extent cx="8961120" cy="5577135"/>
            <wp:docPr id="1" name="Picture 1"/>
            <wp:cNvGraphicFramePr>
              <a:graphicFrameLocks noChangeAspect="1"/>
            </wp:cNvGraphicFramePr>
            <a:graphic>
              <a:graphicData uri="http://schemas.openxmlformats.org/drawingml/2006/picture">
                <pic:pic>
                  <pic:nvPicPr>
                    <pic:cNvPr id="0" name="PRISMA_2020_Flow_Diagram.png"/>
                    <pic:cNvPicPr/>
                  </pic:nvPicPr>
                  <pic:blipFill>
                    <a:blip r:embed="rId9"/>
                    <a:stretch>
                      <a:fillRect/>
                    </a:stretch>
                  </pic:blipFill>
                  <pic:spPr>
                    <a:xfrm>
                      <a:off x="0" y="0"/>
                      <a:ext cx="8961120" cy="5577135"/>
                    </a:xfrm>
                    <a:prstGeom prst="rect"/>
                  </pic:spPr>
                </pic:pic>
              </a:graphicData>
            </a:graphic>
          </wp:inline>
        </w:drawing>
      </w:r>
    </w:p>
    <w:p>
      <w:r>
        <w:t>The flow diagram summarises identification, screening, eligibility assessment, and inclusion of studies in the review. The total number of included studies is 95 after addition of the three missing eligible studies to the included-record list.</w:t>
      </w:r>
    </w:p>
    <w:sectPr w:rsidR="00FC693F" w:rsidRPr="0006063C" w:rsidSect="00034616">
      <w:pgSz w:w="15840" w:h="12240" w:orient="landscape"/>
      <w:pgMar w:top="648" w:right="648" w:bottom="648" w:left="64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