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E5C" w:rsidRDefault="00BD4E5C" w:rsidP="00BD4E5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783B13">
        <w:rPr>
          <w:rFonts w:ascii="Times New Roman" w:hAnsi="Times New Roman" w:cs="Times New Roman"/>
          <w:b/>
          <w:sz w:val="24"/>
          <w:szCs w:val="24"/>
        </w:rPr>
        <w:t>Ta</w:t>
      </w:r>
      <w:r>
        <w:rPr>
          <w:rFonts w:ascii="Times New Roman" w:hAnsi="Times New Roman" w:cs="Times New Roman"/>
          <w:b/>
          <w:sz w:val="24"/>
          <w:szCs w:val="24"/>
        </w:rPr>
        <w:t>ble</w:t>
      </w:r>
      <w:proofErr w:type="spellEnd"/>
      <w:r w:rsidRPr="00783B13">
        <w:rPr>
          <w:rFonts w:ascii="Times New Roman" w:hAnsi="Times New Roman" w:cs="Times New Roman"/>
          <w:b/>
          <w:sz w:val="24"/>
          <w:szCs w:val="24"/>
        </w:rPr>
        <w:t xml:space="preserve"> S3. </w:t>
      </w:r>
      <w:proofErr w:type="spellStart"/>
      <w:r w:rsidRPr="00596CDD">
        <w:rPr>
          <w:rFonts w:ascii="Times New Roman" w:hAnsi="Times New Roman" w:cs="Times New Roman"/>
          <w:sz w:val="24"/>
          <w:szCs w:val="24"/>
        </w:rPr>
        <w:t>Filter</w:t>
      </w:r>
      <w:proofErr w:type="spellEnd"/>
      <w:r w:rsidRPr="00596C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CDD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596C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CDD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96C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CDD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596C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CDD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596C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C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96C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CDD">
        <w:rPr>
          <w:rFonts w:ascii="Times New Roman" w:hAnsi="Times New Roman" w:cs="Times New Roman"/>
          <w:sz w:val="24"/>
          <w:szCs w:val="24"/>
        </w:rPr>
        <w:t>scale</w:t>
      </w:r>
      <w:proofErr w:type="spellEnd"/>
      <w:r w:rsidRPr="00596C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6CDD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596C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CD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96CDD">
        <w:rPr>
          <w:rFonts w:ascii="Times New Roman" w:hAnsi="Times New Roman" w:cs="Times New Roman"/>
          <w:sz w:val="24"/>
          <w:szCs w:val="24"/>
        </w:rPr>
        <w:t xml:space="preserve"> ​​</w:t>
      </w:r>
      <w:proofErr w:type="spellStart"/>
      <w:r w:rsidRPr="00596CDD">
        <w:rPr>
          <w:rFonts w:ascii="Times New Roman" w:hAnsi="Times New Roman" w:cs="Times New Roman"/>
          <w:sz w:val="24"/>
          <w:szCs w:val="24"/>
        </w:rPr>
        <w:t>knowledge</w:t>
      </w:r>
      <w:proofErr w:type="spellEnd"/>
      <w:r w:rsidRPr="00596C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6CD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96C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CDD">
        <w:rPr>
          <w:rFonts w:ascii="Times New Roman" w:hAnsi="Times New Roman" w:cs="Times New Roman"/>
          <w:sz w:val="24"/>
          <w:szCs w:val="24"/>
        </w:rPr>
        <w:t>hypotheses</w:t>
      </w:r>
      <w:proofErr w:type="spellEnd"/>
      <w:r w:rsidRPr="00596C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CDD">
        <w:rPr>
          <w:rFonts w:ascii="Times New Roman" w:hAnsi="Times New Roman" w:cs="Times New Roman"/>
          <w:sz w:val="24"/>
          <w:szCs w:val="24"/>
        </w:rPr>
        <w:t>tested</w:t>
      </w:r>
      <w:proofErr w:type="spellEnd"/>
      <w:r w:rsidRPr="00596C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CDD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96C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CDD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596C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CDD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596CDD">
        <w:rPr>
          <w:rFonts w:ascii="Times New Roman" w:hAnsi="Times New Roman" w:cs="Times New Roman"/>
          <w:sz w:val="24"/>
          <w:szCs w:val="24"/>
        </w:rPr>
        <w:t>.</w:t>
      </w:r>
    </w:p>
    <w:p w:rsidR="00BD4E5C" w:rsidRDefault="00BD4E5C" w:rsidP="00BD4E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D4E5C" w:rsidRDefault="00BD4E5C" w:rsidP="00BD4E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D4E5C" w:rsidRPr="00204310" w:rsidRDefault="00BD4E5C" w:rsidP="00BD4E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D4E5C" w:rsidRDefault="00BD4E5C" w:rsidP="00BD4E5C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421" w:tblpY="-5201"/>
        <w:tblW w:w="10916" w:type="dxa"/>
        <w:tblLook w:val="06A0" w:firstRow="1" w:lastRow="0" w:firstColumn="1" w:lastColumn="0" w:noHBand="1" w:noVBand="1"/>
      </w:tblPr>
      <w:tblGrid>
        <w:gridCol w:w="1985"/>
        <w:gridCol w:w="1428"/>
        <w:gridCol w:w="4804"/>
        <w:gridCol w:w="2699"/>
      </w:tblGrid>
      <w:tr w:rsidR="00BD4E5C" w:rsidRPr="006E431A" w:rsidTr="00853777">
        <w:trPr>
          <w:trHeight w:val="568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4" w:type="dxa"/>
            <w:tcBorders>
              <w:bottom w:val="single" w:sz="4" w:space="0" w:color="auto"/>
            </w:tcBorders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bottom w:val="single" w:sz="4" w:space="0" w:color="auto"/>
            </w:tcBorders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E5C" w:rsidRPr="006E431A" w:rsidTr="00853777">
        <w:trPr>
          <w:trHeight w:val="568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Research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</w:tcBorders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Scale</w:t>
            </w:r>
            <w:proofErr w:type="spellEnd"/>
          </w:p>
        </w:tc>
        <w:tc>
          <w:tcPr>
            <w:tcW w:w="4804" w:type="dxa"/>
            <w:tcBorders>
              <w:top w:val="single" w:sz="4" w:space="0" w:color="auto"/>
            </w:tcBorders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Hypothesis</w:t>
            </w:r>
            <w:proofErr w:type="spellEnd"/>
          </w:p>
        </w:tc>
        <w:tc>
          <w:tcPr>
            <w:tcW w:w="2699" w:type="dxa"/>
            <w:tcBorders>
              <w:top w:val="single" w:sz="4" w:space="0" w:color="auto"/>
            </w:tcBorders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Area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of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Knowledge</w:t>
            </w:r>
            <w:proofErr w:type="spellEnd"/>
          </w:p>
        </w:tc>
      </w:tr>
      <w:tr w:rsidR="00BD4E5C" w:rsidRPr="00D111D8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Wagner P. et al. (2018)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pacing w:before="0" w:line="360" w:lineRule="auto"/>
              <w:jc w:val="center"/>
              <w:rPr>
                <w:rFonts w:eastAsiaTheme="minorHAnsi"/>
                <w:b w:val="0"/>
                <w:szCs w:val="24"/>
                <w:lang w:val="en-US"/>
              </w:rPr>
            </w:pPr>
            <w:r w:rsidRPr="00783B13">
              <w:rPr>
                <w:rFonts w:eastAsiaTheme="minorHAnsi"/>
                <w:b w:val="0"/>
                <w:kern w:val="2"/>
                <w:szCs w:val="24"/>
                <w:shd w:val="clear" w:color="auto" w:fill="FFFFFF"/>
                <w:lang w:val="en-US"/>
                <w14:ligatures w14:val="standardContextual"/>
              </w:rPr>
              <w:t>Generic occupancy is a byproduct of species richness among genera in Phanerozoic marine invertebrates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pStyle w:val="Ttulo2"/>
              <w:spacing w:before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Macroecology</w:t>
            </w:r>
            <w:proofErr w:type="spellEnd"/>
            <w:r w:rsidRPr="00783B1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783B1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D111D8" w:rsidTr="00853777">
        <w:trPr>
          <w:trHeight w:val="220"/>
        </w:trPr>
        <w:tc>
          <w:tcPr>
            <w:tcW w:w="1985" w:type="dxa"/>
            <w:vAlign w:val="center"/>
          </w:tcPr>
          <w:p w:rsidR="00BD4E5C" w:rsidRPr="00783B13" w:rsidRDefault="00BD4E5C" w:rsidP="00853777">
            <w:pPr>
              <w:pStyle w:val="Ttulo1"/>
              <w:spacing w:before="0" w:line="360" w:lineRule="auto"/>
              <w:jc w:val="center"/>
              <w:rPr>
                <w:rFonts w:eastAsiaTheme="minorHAnsi"/>
                <w:szCs w:val="24"/>
              </w:rPr>
            </w:pPr>
            <w:proofErr w:type="spellStart"/>
            <w:r w:rsidRPr="00783B13">
              <w:rPr>
                <w:rFonts w:eastAsiaTheme="minorHAnsi"/>
                <w:szCs w:val="24"/>
              </w:rPr>
              <w:t>Edie</w:t>
            </w:r>
            <w:proofErr w:type="spellEnd"/>
            <w:r w:rsidRPr="00783B13">
              <w:rPr>
                <w:rFonts w:eastAsiaTheme="minorHAnsi"/>
                <w:szCs w:val="24"/>
              </w:rPr>
              <w:t xml:space="preserve"> SM et al. (2018)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pacing w:before="0" w:line="360" w:lineRule="auto"/>
              <w:jc w:val="center"/>
              <w:rPr>
                <w:rStyle w:val="title-text"/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pacing w:before="0" w:line="360" w:lineRule="auto"/>
              <w:jc w:val="center"/>
              <w:rPr>
                <w:b w:val="0"/>
                <w:color w:val="FF0000"/>
                <w:szCs w:val="24"/>
                <w:lang w:val="en-US"/>
              </w:rPr>
            </w:pPr>
            <w:r w:rsidRPr="00783B13">
              <w:rPr>
                <w:rStyle w:val="title-text"/>
                <w:b w:val="0"/>
                <w:szCs w:val="24"/>
                <w:lang w:val="en-US"/>
              </w:rPr>
              <w:t>The spatial decline of diversity and the increase in functional uniformity along a gradient primarily reflect diversity-dependent factors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pStyle w:val="Ttulo2"/>
              <w:spacing w:before="0"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Macroecology</w:t>
            </w:r>
            <w:proofErr w:type="spellEnd"/>
            <w:r w:rsidRPr="00783B1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783B1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pStyle w:val="Ttulo1"/>
              <w:spacing w:before="0" w:line="360" w:lineRule="auto"/>
              <w:jc w:val="center"/>
              <w:rPr>
                <w:rFonts w:eastAsiaTheme="minorHAnsi"/>
                <w:szCs w:val="24"/>
              </w:rPr>
            </w:pPr>
            <w:r w:rsidRPr="00783B13">
              <w:rPr>
                <w:noProof/>
                <w:szCs w:val="24"/>
              </w:rPr>
              <w:t>Pietsch C et al. (2023)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Regional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color w:val="FF0000"/>
                <w:szCs w:val="24"/>
                <w:lang w:val="en-US"/>
              </w:rPr>
            </w:pPr>
            <w:proofErr w:type="spellStart"/>
            <w:r w:rsidRPr="00783B13">
              <w:rPr>
                <w:b w:val="0"/>
                <w:szCs w:val="24"/>
                <w:lang w:val="en-US"/>
              </w:rPr>
              <w:t>Turritelline</w:t>
            </w:r>
            <w:proofErr w:type="spellEnd"/>
            <w:r w:rsidRPr="00783B13">
              <w:rPr>
                <w:b w:val="0"/>
                <w:szCs w:val="24"/>
                <w:lang w:val="en-US"/>
              </w:rPr>
              <w:t xml:space="preserve"> gastropod size was inversely correlated with latitude, a trend likely driven by the Neogene–Recent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pStyle w:val="Ttulo1"/>
              <w:spacing w:before="0" w:line="360" w:lineRule="auto"/>
              <w:jc w:val="center"/>
              <w:rPr>
                <w:rFonts w:eastAsiaTheme="minorHAnsi"/>
                <w:b w:val="0"/>
                <w:i/>
                <w:szCs w:val="24"/>
              </w:rPr>
            </w:pPr>
            <w:proofErr w:type="spellStart"/>
            <w:r w:rsidRPr="00783B13">
              <w:rPr>
                <w:b w:val="0"/>
                <w:szCs w:val="24"/>
              </w:rPr>
              <w:t>Macroecology</w:t>
            </w:r>
            <w:proofErr w:type="spellEnd"/>
            <w:r w:rsidRPr="00783B13">
              <w:rPr>
                <w:b w:val="0"/>
                <w:szCs w:val="24"/>
              </w:rPr>
              <w:t xml:space="preserve">, </w:t>
            </w:r>
            <w:proofErr w:type="spellStart"/>
            <w:r w:rsidRPr="00783B13">
              <w:rPr>
                <w:b w:val="0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pStyle w:val="Ttulo1"/>
              <w:spacing w:before="0" w:line="360" w:lineRule="auto"/>
              <w:jc w:val="center"/>
              <w:rPr>
                <w:noProof/>
                <w:szCs w:val="24"/>
              </w:rPr>
            </w:pPr>
            <w:r w:rsidRPr="00783B13">
              <w:rPr>
                <w:noProof/>
                <w:szCs w:val="24"/>
              </w:rPr>
              <w:t>Diniz-Reis TR et al. (2021)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pacing w:before="0" w:line="360" w:lineRule="auto"/>
              <w:jc w:val="center"/>
              <w:rPr>
                <w:rFonts w:eastAsiaTheme="minorHAnsi"/>
                <w:b w:val="0"/>
                <w:szCs w:val="24"/>
              </w:rPr>
            </w:pPr>
            <w:r w:rsidRPr="00783B13">
              <w:rPr>
                <w:rFonts w:eastAsiaTheme="minorHAnsi"/>
                <w:b w:val="0"/>
                <w:szCs w:val="24"/>
              </w:rPr>
              <w:t>*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pStyle w:val="Ttulo1"/>
              <w:spacing w:before="0" w:line="360" w:lineRule="auto"/>
              <w:jc w:val="center"/>
              <w:rPr>
                <w:b w:val="0"/>
                <w:szCs w:val="24"/>
              </w:rPr>
            </w:pPr>
            <w:proofErr w:type="spellStart"/>
            <w:r w:rsidRPr="00783B13">
              <w:rPr>
                <w:b w:val="0"/>
                <w:szCs w:val="24"/>
              </w:rPr>
              <w:t>Macroecology</w:t>
            </w:r>
            <w:proofErr w:type="spellEnd"/>
            <w:r w:rsidRPr="00783B13">
              <w:rPr>
                <w:b w:val="0"/>
                <w:szCs w:val="24"/>
              </w:rPr>
              <w:t>,</w:t>
            </w:r>
            <w:r>
              <w:rPr>
                <w:b w:val="0"/>
                <w:szCs w:val="24"/>
              </w:rPr>
              <w:t xml:space="preserve"> </w:t>
            </w:r>
            <w:proofErr w:type="spellStart"/>
            <w:r w:rsidRPr="00783B13">
              <w:rPr>
                <w:b w:val="0"/>
                <w:szCs w:val="24"/>
              </w:rPr>
              <w:t>Chemistry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pStyle w:val="Ttulo1"/>
              <w:spacing w:before="0" w:line="360" w:lineRule="auto"/>
              <w:jc w:val="center"/>
              <w:rPr>
                <w:rFonts w:eastAsiaTheme="minorHAnsi"/>
                <w:szCs w:val="24"/>
              </w:rPr>
            </w:pPr>
            <w:r w:rsidRPr="00783B13">
              <w:rPr>
                <w:noProof/>
                <w:szCs w:val="24"/>
              </w:rPr>
              <w:t>Barnes BD et al (2021)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pacing w:before="0" w:line="360" w:lineRule="auto"/>
              <w:jc w:val="center"/>
              <w:rPr>
                <w:rFonts w:eastAsiaTheme="minorHAnsi"/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pacing w:before="0" w:line="360" w:lineRule="auto"/>
              <w:jc w:val="center"/>
              <w:rPr>
                <w:rFonts w:eastAsiaTheme="minorHAnsi"/>
                <w:b w:val="0"/>
                <w:szCs w:val="24"/>
                <w:lang w:val="en-US"/>
              </w:rPr>
            </w:pPr>
            <w:r w:rsidRPr="00783B13">
              <w:rPr>
                <w:rFonts w:eastAsiaTheme="minorHAnsi"/>
                <w:b w:val="0"/>
                <w:szCs w:val="24"/>
                <w:lang w:val="en-US"/>
              </w:rPr>
              <w:t xml:space="preserve">Marine fossils experience significant drops in genus richness during mass extinction events and do not </w:t>
            </w:r>
            <w:proofErr w:type="spellStart"/>
            <w:r w:rsidRPr="00783B13">
              <w:rPr>
                <w:rFonts w:eastAsiaTheme="minorHAnsi"/>
                <w:b w:val="0"/>
                <w:szCs w:val="24"/>
                <w:lang w:val="en-US"/>
              </w:rPr>
              <w:t>rediversify</w:t>
            </w:r>
            <w:proofErr w:type="spellEnd"/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pStyle w:val="Ttulo1"/>
              <w:spacing w:before="0" w:line="360" w:lineRule="auto"/>
              <w:jc w:val="center"/>
              <w:rPr>
                <w:rFonts w:eastAsiaTheme="minorHAnsi"/>
                <w:b w:val="0"/>
                <w:szCs w:val="24"/>
              </w:rPr>
            </w:pPr>
            <w:proofErr w:type="spellStart"/>
            <w:r w:rsidRPr="00783B13">
              <w:rPr>
                <w:b w:val="0"/>
                <w:szCs w:val="24"/>
              </w:rPr>
              <w:t>Macroecology</w:t>
            </w:r>
            <w:proofErr w:type="spellEnd"/>
            <w:r w:rsidRPr="00783B13">
              <w:rPr>
                <w:b w:val="0"/>
                <w:szCs w:val="24"/>
              </w:rPr>
              <w:t xml:space="preserve">, </w:t>
            </w:r>
            <w:proofErr w:type="spellStart"/>
            <w:r w:rsidRPr="00783B13">
              <w:rPr>
                <w:b w:val="0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pStyle w:val="Ttulo1"/>
              <w:spacing w:before="0" w:line="360" w:lineRule="auto"/>
              <w:jc w:val="center"/>
              <w:rPr>
                <w:noProof/>
                <w:szCs w:val="24"/>
              </w:rPr>
            </w:pPr>
            <w:r w:rsidRPr="00783B13">
              <w:rPr>
                <w:noProof/>
                <w:szCs w:val="24"/>
              </w:rPr>
              <w:t>Wilkes MA et al. (2020)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pacing w:before="0" w:line="360" w:lineRule="auto"/>
              <w:jc w:val="center"/>
              <w:rPr>
                <w:rFonts w:eastAsiaTheme="minorHAnsi"/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pacing w:before="0" w:line="360" w:lineRule="auto"/>
              <w:jc w:val="center"/>
              <w:rPr>
                <w:rFonts w:eastAsiaTheme="minorHAnsi"/>
                <w:b w:val="0"/>
                <w:szCs w:val="24"/>
              </w:rPr>
            </w:pPr>
            <w:r w:rsidRPr="00783B13">
              <w:rPr>
                <w:rFonts w:eastAsiaTheme="minorHAnsi"/>
                <w:b w:val="0"/>
                <w:szCs w:val="24"/>
              </w:rPr>
              <w:t>*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pStyle w:val="Ttulo1"/>
              <w:spacing w:before="0" w:line="360" w:lineRule="auto"/>
              <w:jc w:val="center"/>
              <w:rPr>
                <w:rFonts w:eastAsiaTheme="minorHAnsi"/>
                <w:b w:val="0"/>
                <w:szCs w:val="24"/>
              </w:rPr>
            </w:pPr>
            <w:proofErr w:type="spellStart"/>
            <w:r w:rsidRPr="00783B13">
              <w:rPr>
                <w:b w:val="0"/>
                <w:szCs w:val="24"/>
              </w:rPr>
              <w:t>Macroecology</w:t>
            </w:r>
            <w:proofErr w:type="spellEnd"/>
            <w:r w:rsidRPr="00783B13">
              <w:rPr>
                <w:b w:val="0"/>
                <w:szCs w:val="24"/>
              </w:rPr>
              <w:t>,</w:t>
            </w:r>
            <w:r>
              <w:rPr>
                <w:b w:val="0"/>
                <w:szCs w:val="24"/>
              </w:rPr>
              <w:t xml:space="preserve"> </w:t>
            </w:r>
            <w:proofErr w:type="spellStart"/>
            <w:r w:rsidRPr="00783B13">
              <w:rPr>
                <w:b w:val="0"/>
                <w:szCs w:val="24"/>
              </w:rPr>
              <w:t>Chemistry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Silvestro D et al. (2019)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rFonts w:eastAsiaTheme="minorHAnsi"/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Extinction rate decreases significantly with taxon age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Rominger AJ et al. (2019)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rFonts w:eastAsiaTheme="minorHAnsi"/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Heterogeneous rates of origination and extinction among clades and conserved rates within clades are responsible for the shape of Phanerozoic diversity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Taxonomy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s-AR"/>
              </w:rPr>
              <w:t xml:space="preserve">Herrera-Alsina L et al. </w:t>
            </w:r>
            <w:r w:rsidRPr="00783B1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(2018)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rFonts w:eastAsiaTheme="minorHAnsi"/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rFonts w:eastAsiaTheme="minorHAnsi"/>
                <w:b w:val="0"/>
                <w:szCs w:val="24"/>
                <w:lang w:val="en-US"/>
              </w:rPr>
              <w:t>The evolution of species distribution and diversity is influenced by ecological and geographic limits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Inbánez CM et al. (2018)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rFonts w:eastAsiaTheme="minorHAnsi"/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rFonts w:eastAsiaTheme="minorHAnsi"/>
                <w:b w:val="0"/>
                <w:szCs w:val="24"/>
                <w:lang w:val="en-US"/>
              </w:rPr>
              <w:t>Direct development and larger eggs are favored poleward in marine organisms, Thorson's rule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Zliobaité I et al. (2017)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rFonts w:eastAsiaTheme="minorHAnsi"/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rFonts w:eastAsiaTheme="minorHAnsi"/>
                <w:b w:val="0"/>
                <w:szCs w:val="24"/>
                <w:lang w:val="en-US"/>
              </w:rPr>
            </w:pPr>
            <w:r w:rsidRPr="00783B13">
              <w:rPr>
                <w:rFonts w:eastAsiaTheme="minorHAnsi"/>
                <w:b w:val="0"/>
                <w:szCs w:val="24"/>
                <w:lang w:val="en-US"/>
              </w:rPr>
              <w:t>The contradiction between a stochastically constant extinction rate and the deterministic pattern of increase and decrease of taxa disappears when we consider their peak expansion instead of their final extinction, red queen hypothesis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Wolfe JM (2017)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rFonts w:eastAsiaTheme="minorHAnsi"/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 xml:space="preserve">Metamorphosis was probably ancestral to crowned arthropods from the </w:t>
            </w:r>
            <w:proofErr w:type="spellStart"/>
            <w:r w:rsidRPr="00783B13">
              <w:rPr>
                <w:b w:val="0"/>
                <w:szCs w:val="24"/>
                <w:lang w:val="en-US"/>
              </w:rPr>
              <w:t>Ordovincian</w:t>
            </w:r>
            <w:proofErr w:type="spellEnd"/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Philogeny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Castiglione S et al. (2017)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*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Servais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 et al. (2016)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rStyle w:val="title-text"/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*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Payne JL et al. (2014)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The metabolic dominance of bivalves predates the decline in brachiopod diversity by more than 150 million years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Strathmann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RR (2007)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Regional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rFonts w:eastAsiaTheme="minorHAnsi"/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Pelagic development prior to feeding or settlement capacity avoids restrictions on oxygen supply to aggregated embryos and scarcity of deposition sites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Treibergs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KA, </w:t>
            </w: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Giribet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 (2020)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Regional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rFonts w:eastAsiaTheme="minorHAnsi"/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*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Barbeitos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MS et al. (2010)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Local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rFonts w:eastAsiaTheme="minorHAnsi"/>
                <w:b w:val="0"/>
                <w:szCs w:val="24"/>
                <w:lang w:val="en-US"/>
              </w:rPr>
            </w:pPr>
            <w:proofErr w:type="spellStart"/>
            <w:r w:rsidRPr="00783B13">
              <w:rPr>
                <w:b w:val="0"/>
                <w:szCs w:val="24"/>
                <w:lang w:val="en-US"/>
              </w:rPr>
              <w:t>Azooxanthellate</w:t>
            </w:r>
            <w:proofErr w:type="spellEnd"/>
            <w:r w:rsidRPr="00783B13">
              <w:rPr>
                <w:b w:val="0"/>
                <w:szCs w:val="24"/>
                <w:lang w:val="en-US"/>
              </w:rPr>
              <w:t xml:space="preserve"> lineages originated from ancestors that </w:t>
            </w:r>
            <w:proofErr w:type="gramStart"/>
            <w:r w:rsidRPr="00783B13">
              <w:rPr>
                <w:b w:val="0"/>
                <w:szCs w:val="24"/>
                <w:lang w:val="en-US"/>
              </w:rPr>
              <w:t>were reconstructed</w:t>
            </w:r>
            <w:proofErr w:type="gramEnd"/>
            <w:r w:rsidRPr="00783B13">
              <w:rPr>
                <w:b w:val="0"/>
                <w:szCs w:val="24"/>
                <w:lang w:val="en-US"/>
              </w:rPr>
              <w:t xml:space="preserve"> as symbiotic, is the onshore-offshore diversification trend recorded in marine taxa.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Genetic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Philogeny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Korhonen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 et al. (2010)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rFonts w:eastAsiaTheme="minorHAnsi"/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The similarity of marine assemblages decreases over time in relation to several ecological, physical and geographic factors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Biogeography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Fenberg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PB, Roy K (2007)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rFonts w:eastAsiaTheme="minorHAnsi"/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The preferential removal of larger individuals of a species has a negative effect on its demography, life history, and ecology, and empirical studies increasingly document such impacts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rPr>
          <w:trHeight w:val="616"/>
        </w:trPr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Powell MG (2007)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rFonts w:eastAsiaTheme="minorHAnsi"/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 xml:space="preserve">The latitudinal diversity gradient and associated spatial patterns </w:t>
            </w:r>
            <w:proofErr w:type="spellStart"/>
            <w:r w:rsidRPr="00783B13">
              <w:rPr>
                <w:b w:val="0"/>
                <w:szCs w:val="24"/>
                <w:lang w:val="en-US"/>
              </w:rPr>
              <w:t>covaried</w:t>
            </w:r>
            <w:proofErr w:type="spellEnd"/>
            <w:r w:rsidRPr="00783B13">
              <w:rPr>
                <w:b w:val="0"/>
                <w:szCs w:val="24"/>
                <w:lang w:val="en-US"/>
              </w:rPr>
              <w:t xml:space="preserve"> during major climate changes at the beginning and end of the late Paleozoic ice age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Biogeography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Ferrari M et al. (2022)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 xml:space="preserve">Pelagic larval stage feeding, adaptation to tropical temperate water temperatures, and flexibility of mantle attachment explain the </w:t>
            </w:r>
            <w:r w:rsidRPr="00783B13">
              <w:rPr>
                <w:b w:val="0"/>
                <w:szCs w:val="24"/>
                <w:lang w:val="en-US"/>
              </w:rPr>
              <w:lastRenderedPageBreak/>
              <w:t xml:space="preserve">extinction resilience of </w:t>
            </w:r>
            <w:proofErr w:type="spellStart"/>
            <w:r w:rsidRPr="00783B13">
              <w:rPr>
                <w:b w:val="0"/>
                <w:szCs w:val="24"/>
                <w:lang w:val="en-US"/>
              </w:rPr>
              <w:t>heterobranchs</w:t>
            </w:r>
            <w:proofErr w:type="spellEnd"/>
            <w:r w:rsidRPr="00783B13">
              <w:rPr>
                <w:b w:val="0"/>
                <w:szCs w:val="24"/>
                <w:lang w:val="en-US"/>
              </w:rPr>
              <w:t xml:space="preserve"> during the late Triassic crisis.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Macroecology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Sepkoski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JJ et al (2000)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*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Duda TF, </w:t>
            </w: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Palambi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SR (2010)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The increase in species with limited dispersal is merely the result of speciation within monophyletic groups with low dispersal.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Philogeny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Jacobs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DK, </w:t>
            </w: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Lindberg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DR (1998)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rStyle w:val="title-text"/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Higher taxa tend to originate on land, diversify in the sea and retreat to deep-sea environments, so ordinal appearances in the post-Paleozoic indicate that the terrestrial preference for ordinal origin occurred only in the Mesozoic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Philogeny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Wray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GA (1996)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Change from feeding larvae to non-feeding larvae is life history transformation that was accompanied by changes in larval morphology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Philogeny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Gili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C, </w:t>
            </w: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Martinell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 (1994)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rFonts w:eastAsiaTheme="minorHAnsi"/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 xml:space="preserve">Lifespan of species with </w:t>
            </w:r>
            <w:proofErr w:type="spellStart"/>
            <w:r w:rsidRPr="00783B13">
              <w:rPr>
                <w:b w:val="0"/>
                <w:szCs w:val="24"/>
                <w:lang w:val="en-US"/>
              </w:rPr>
              <w:t>planktotrophic</w:t>
            </w:r>
            <w:proofErr w:type="spellEnd"/>
            <w:r w:rsidRPr="00783B13">
              <w:rPr>
                <w:b w:val="0"/>
                <w:szCs w:val="24"/>
                <w:lang w:val="en-US"/>
              </w:rPr>
              <w:t xml:space="preserve"> larval development is longer than those with non-</w:t>
            </w:r>
            <w:proofErr w:type="spellStart"/>
            <w:r w:rsidRPr="00783B13">
              <w:rPr>
                <w:b w:val="0"/>
                <w:szCs w:val="24"/>
                <w:lang w:val="en-US"/>
              </w:rPr>
              <w:t>planktotrophic</w:t>
            </w:r>
            <w:proofErr w:type="spellEnd"/>
            <w:r w:rsidRPr="00783B13">
              <w:rPr>
                <w:b w:val="0"/>
                <w:szCs w:val="24"/>
                <w:lang w:val="en-US"/>
              </w:rPr>
              <w:t xml:space="preserve"> development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Colin R et al. (2021)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rFonts w:eastAsiaTheme="minorHAnsi"/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*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Philogeny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Yu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 et al. (2022)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rFonts w:eastAsiaTheme="minorHAnsi"/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*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Módica MV et al. (2019)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rFonts w:eastAsiaTheme="minorHAnsi"/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 xml:space="preserve">Intrinsic and extrinsic characteristics such as shell size, larval ecology, bathymetric distribution and anatomical characteristics of the venom apparatus drove the diversification of </w:t>
            </w:r>
            <w:proofErr w:type="spellStart"/>
            <w:r w:rsidRPr="00783B13">
              <w:rPr>
                <w:b w:val="0"/>
                <w:szCs w:val="24"/>
                <w:lang w:val="en-US"/>
              </w:rPr>
              <w:t>terebrids</w:t>
            </w:r>
            <w:proofErr w:type="spellEnd"/>
            <w:r w:rsidRPr="00783B13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Balseiro D, Powell MG (2023)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Regional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rFonts w:eastAsiaTheme="minorHAnsi"/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*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Taylor PD (1987)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rFonts w:eastAsiaTheme="minorHAnsi"/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*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Segessenman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DC, </w:t>
            </w: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Kamer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TW (2017)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rFonts w:eastAsiaTheme="minorHAnsi"/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*</w:t>
            </w:r>
          </w:p>
        </w:tc>
        <w:tc>
          <w:tcPr>
            <w:tcW w:w="2699" w:type="dxa"/>
          </w:tcPr>
          <w:p w:rsidR="00BD4E5C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D8E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787D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Harnik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PG et al. (2012)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Some aspects of rarity are more widely used to predict species vulnerability to extinction than others</w:t>
            </w:r>
          </w:p>
        </w:tc>
        <w:tc>
          <w:tcPr>
            <w:tcW w:w="2699" w:type="dxa"/>
          </w:tcPr>
          <w:p w:rsidR="00BD4E5C" w:rsidRPr="00204310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D8E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787D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Jarvis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GC et al. (2022)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The well-established drivers of hermaphroditism in plants have analogues in animals</w:t>
            </w:r>
          </w:p>
        </w:tc>
        <w:tc>
          <w:tcPr>
            <w:tcW w:w="2699" w:type="dxa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D8E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787D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7D8E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Jones LA et al. (2021)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Spatial sampling heterogeneity has the capacity to impact the reconstruction of flat, unimodal and bimodal global biodiversity patterns in deep time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Ecology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Lardies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 et al. (2010)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 xml:space="preserve">There is an effect of </w:t>
            </w:r>
            <w:proofErr w:type="spellStart"/>
            <w:r w:rsidRPr="00783B13">
              <w:rPr>
                <w:b w:val="0"/>
                <w:szCs w:val="24"/>
                <w:lang w:val="en-US"/>
              </w:rPr>
              <w:t>metabo</w:t>
            </w:r>
            <w:proofErr w:type="spellEnd"/>
            <w:r w:rsidRPr="00783B13">
              <w:rPr>
                <w:b w:val="0"/>
                <w:szCs w:val="24"/>
                <w:lang w:val="en-US"/>
              </w:rPr>
              <w:t xml:space="preserve"> variation on aquatic and aerial </w:t>
            </w:r>
            <w:proofErr w:type="spellStart"/>
            <w:r w:rsidRPr="00783B13">
              <w:rPr>
                <w:b w:val="0"/>
                <w:szCs w:val="24"/>
                <w:lang w:val="en-US"/>
              </w:rPr>
              <w:t>metabolismo</w:t>
            </w:r>
            <w:proofErr w:type="spellEnd"/>
          </w:p>
        </w:tc>
        <w:tc>
          <w:tcPr>
            <w:tcW w:w="2699" w:type="dxa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35C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6873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Biogeography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Jones DOB et al. (2013)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Decade-to-century-scale changes in carbon export associated with climate change lead to an estimated 5.2% decrease in global benthic biomass</w:t>
            </w:r>
          </w:p>
        </w:tc>
        <w:tc>
          <w:tcPr>
            <w:tcW w:w="2699" w:type="dxa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35C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6873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Biogeography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Anderson BM et al. (2017)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Chile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 xml:space="preserve">There is a difference between the growth rate and environmental conditions during the formation of beds of assemblages dominated by </w:t>
            </w:r>
            <w:proofErr w:type="spellStart"/>
            <w:r w:rsidRPr="00783B13">
              <w:rPr>
                <w:b w:val="0"/>
                <w:szCs w:val="24"/>
                <w:lang w:val="en-US"/>
              </w:rPr>
              <w:t>turritelines</w:t>
            </w:r>
            <w:proofErr w:type="spellEnd"/>
            <w:r w:rsidRPr="00783B13">
              <w:rPr>
                <w:b w:val="0"/>
                <w:szCs w:val="24"/>
                <w:lang w:val="en-US"/>
              </w:rPr>
              <w:t xml:space="preserve"> and those of assemblages not dominated by </w:t>
            </w:r>
            <w:proofErr w:type="spellStart"/>
            <w:r w:rsidRPr="00783B13">
              <w:rPr>
                <w:b w:val="0"/>
                <w:szCs w:val="24"/>
                <w:lang w:val="en-US"/>
              </w:rPr>
              <w:t>turritelines</w:t>
            </w:r>
            <w:proofErr w:type="spellEnd"/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35C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6873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Biogeography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Hoehn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KB et al. (2016)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Natural selection can act on groupings above the species level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D8E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787D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7D8E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Pavoine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 et al. (2010)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*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D8E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787D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7D8E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Madin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JS et al. (2006)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There is statistical independence of increasing ecological trends in Phanerozoic marine invertebrates</w:t>
            </w:r>
          </w:p>
        </w:tc>
        <w:tc>
          <w:tcPr>
            <w:tcW w:w="2699" w:type="dxa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184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1811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1184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Lima MCS et al. (2019)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 xml:space="preserve">Family density function </w:t>
            </w:r>
            <w:proofErr w:type="gramStart"/>
            <w:r w:rsidRPr="00783B13">
              <w:rPr>
                <w:b w:val="0"/>
                <w:szCs w:val="24"/>
                <w:lang w:val="en-US"/>
              </w:rPr>
              <w:t>can be expressed</w:t>
            </w:r>
            <w:proofErr w:type="gramEnd"/>
            <w:r w:rsidRPr="00783B13">
              <w:rPr>
                <w:b w:val="0"/>
                <w:szCs w:val="24"/>
                <w:lang w:val="en-US"/>
              </w:rPr>
              <w:t xml:space="preserve"> as a linear combination of </w:t>
            </w:r>
            <w:proofErr w:type="spellStart"/>
            <w:r w:rsidRPr="00783B13">
              <w:rPr>
                <w:b w:val="0"/>
                <w:szCs w:val="24"/>
                <w:lang w:val="en-US"/>
              </w:rPr>
              <w:t>exponentiated</w:t>
            </w:r>
            <w:proofErr w:type="spellEnd"/>
            <w:r w:rsidRPr="00783B13">
              <w:rPr>
                <w:b w:val="0"/>
                <w:szCs w:val="24"/>
                <w:lang w:val="en-US"/>
              </w:rPr>
              <w:t xml:space="preserve"> densities based on the same baseline distribution.</w:t>
            </w:r>
          </w:p>
        </w:tc>
        <w:tc>
          <w:tcPr>
            <w:tcW w:w="2699" w:type="dxa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184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1811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1184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Aguión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et al. (2022)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Regional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 xml:space="preserve">The phenology and intensity of reproduction and recruitment of the intertidal barnacle </w:t>
            </w:r>
            <w:proofErr w:type="spellStart"/>
            <w:r w:rsidRPr="00783B13">
              <w:rPr>
                <w:b w:val="0"/>
                <w:i/>
                <w:szCs w:val="24"/>
                <w:lang w:val="en-US"/>
              </w:rPr>
              <w:t>Pollicipes</w:t>
            </w:r>
            <w:proofErr w:type="spellEnd"/>
            <w:r w:rsidRPr="00783B13">
              <w:rPr>
                <w:b w:val="0"/>
                <w:i/>
                <w:szCs w:val="24"/>
                <w:lang w:val="en-US"/>
              </w:rPr>
              <w:t xml:space="preserve"> </w:t>
            </w:r>
            <w:proofErr w:type="spellStart"/>
            <w:r w:rsidRPr="00783B13">
              <w:rPr>
                <w:b w:val="0"/>
                <w:i/>
                <w:szCs w:val="24"/>
                <w:lang w:val="en-US"/>
              </w:rPr>
              <w:t>pollicipes</w:t>
            </w:r>
            <w:proofErr w:type="spellEnd"/>
            <w:r w:rsidRPr="00783B13">
              <w:rPr>
                <w:b w:val="0"/>
                <w:szCs w:val="24"/>
                <w:lang w:val="en-US"/>
              </w:rPr>
              <w:t xml:space="preserve"> on a European scale has potential links with environmental variables.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Philogeny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Biogeography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Bates AE et al. (2013)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Species with wider geographic ranges are ecological generalists, while species with greater heat tolerance are competitive in more extreme and increasing temperatures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184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1811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1184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 J, </w:t>
            </w: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Foighil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(2015)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proofErr w:type="spellStart"/>
            <w:r w:rsidRPr="00783B13">
              <w:rPr>
                <w:b w:val="0"/>
                <w:i/>
                <w:szCs w:val="24"/>
                <w:lang w:val="en-US"/>
              </w:rPr>
              <w:t>Lasaea</w:t>
            </w:r>
            <w:proofErr w:type="spellEnd"/>
            <w:r w:rsidRPr="00783B13">
              <w:rPr>
                <w:b w:val="0"/>
                <w:i/>
                <w:szCs w:val="24"/>
                <w:lang w:val="en-US"/>
              </w:rPr>
              <w:t xml:space="preserve"> </w:t>
            </w:r>
            <w:proofErr w:type="spellStart"/>
            <w:r w:rsidRPr="00783B13">
              <w:rPr>
                <w:b w:val="0"/>
                <w:i/>
                <w:szCs w:val="24"/>
                <w:lang w:val="en-US"/>
              </w:rPr>
              <w:t>australis</w:t>
            </w:r>
            <w:proofErr w:type="spellEnd"/>
            <w:r w:rsidRPr="00783B13">
              <w:rPr>
                <w:b w:val="0"/>
                <w:i/>
                <w:szCs w:val="24"/>
                <w:lang w:val="en-US"/>
              </w:rPr>
              <w:t xml:space="preserve"> </w:t>
            </w:r>
            <w:r w:rsidRPr="00783B13">
              <w:rPr>
                <w:b w:val="0"/>
                <w:szCs w:val="24"/>
                <w:lang w:val="en-US"/>
              </w:rPr>
              <w:t xml:space="preserve">represents an independent evolution of </w:t>
            </w:r>
            <w:proofErr w:type="spellStart"/>
            <w:r w:rsidRPr="00783B13">
              <w:rPr>
                <w:b w:val="0"/>
                <w:szCs w:val="24"/>
                <w:lang w:val="en-US"/>
              </w:rPr>
              <w:t>planktotrophic</w:t>
            </w:r>
            <w:proofErr w:type="spellEnd"/>
            <w:r w:rsidRPr="00783B13">
              <w:rPr>
                <w:b w:val="0"/>
                <w:szCs w:val="24"/>
                <w:lang w:val="en-US"/>
              </w:rPr>
              <w:t xml:space="preserve"> development or the retention of an ancestral trait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Estatistic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1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184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Berke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SK et al. (2012)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Regional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 xml:space="preserve">Body size varies with latitude, temperature and productivity for an important class of marine invertebrates, the </w:t>
            </w:r>
            <w:proofErr w:type="spellStart"/>
            <w:r w:rsidRPr="00783B13">
              <w:rPr>
                <w:b w:val="0"/>
                <w:szCs w:val="24"/>
                <w:lang w:val="en-US"/>
              </w:rPr>
              <w:t>Bivalvia</w:t>
            </w:r>
            <w:proofErr w:type="spellEnd"/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Ecology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Strotz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LC, Lieberman BS (2020)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Local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proofErr w:type="spellStart"/>
            <w:r w:rsidRPr="00783B13">
              <w:rPr>
                <w:b w:val="0"/>
                <w:szCs w:val="24"/>
                <w:lang w:val="en-US"/>
              </w:rPr>
              <w:t>Paleocommunities</w:t>
            </w:r>
            <w:proofErr w:type="spellEnd"/>
            <w:r w:rsidRPr="00783B13">
              <w:rPr>
                <w:b w:val="0"/>
                <w:szCs w:val="24"/>
                <w:lang w:val="en-US"/>
              </w:rPr>
              <w:t xml:space="preserve"> persist for long periods of time and regardless of environmental disturbances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35C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6873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Biogeography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Freestone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AL et al. (2021)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The intensity of predation, the impact on biomass and prey community structure, provides one of the most comprehensive examinations of predator-prey interactions across latitude.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acroecology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Philogeny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Tyler EHM et al. (2011)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Regional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 xml:space="preserve">The availability of data for a species depends on its taxonomic group, its maximum body size, the number of times it has been recorded in a global biogeographic </w:t>
            </w:r>
            <w:proofErr w:type="gramStart"/>
            <w:r w:rsidRPr="00783B13">
              <w:rPr>
                <w:b w:val="0"/>
                <w:szCs w:val="24"/>
                <w:lang w:val="en-US"/>
              </w:rPr>
              <w:t>database,</w:t>
            </w:r>
            <w:proofErr w:type="gramEnd"/>
            <w:r w:rsidRPr="00783B13">
              <w:rPr>
                <w:b w:val="0"/>
                <w:szCs w:val="24"/>
                <w:lang w:val="en-US"/>
              </w:rPr>
              <w:t xml:space="preserve"> or its commercial and conservation importance.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35C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6873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Biogeography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Chiu W-TR et al. </w:t>
            </w:r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(2020)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The latitudinal diversity gradient (LDG) is a consequence of evolutionary and ecological mechanisms that act over long history</w:t>
            </w:r>
          </w:p>
        </w:tc>
        <w:tc>
          <w:tcPr>
            <w:tcW w:w="2699" w:type="dxa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9F0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486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69F0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Brustolin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MC et al. (2020)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Regional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 xml:space="preserve">Mangrove tree richness may explain </w:t>
            </w:r>
            <w:proofErr w:type="spellStart"/>
            <w:r w:rsidRPr="00783B13">
              <w:rPr>
                <w:b w:val="0"/>
                <w:szCs w:val="24"/>
                <w:lang w:val="en-US"/>
              </w:rPr>
              <w:t>macroecological</w:t>
            </w:r>
            <w:proofErr w:type="spellEnd"/>
            <w:r w:rsidRPr="00783B13">
              <w:rPr>
                <w:b w:val="0"/>
                <w:szCs w:val="24"/>
                <w:lang w:val="en-US"/>
              </w:rPr>
              <w:t xml:space="preserve"> patterns of nematode richness</w:t>
            </w:r>
          </w:p>
        </w:tc>
        <w:tc>
          <w:tcPr>
            <w:tcW w:w="2699" w:type="dxa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9F0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486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69F0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Brandt A et al. (1999)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*</w:t>
            </w:r>
          </w:p>
        </w:tc>
        <w:tc>
          <w:tcPr>
            <w:tcW w:w="2699" w:type="dxa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9F0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486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69F0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Guo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 et al. (2023)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Bivalve brachiopods exhibited similar large-scale diversification trends before the Jurassic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Ecology</w:t>
            </w:r>
            <w:proofErr w:type="spellEnd"/>
            <w:r w:rsidRPr="001811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1184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Vermeij GJ (2016)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Environmental variables such as productivity, temperature and oxygen are correlated with gigantism in the Paleozoic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184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1811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1184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Pietsch C et al. (2023)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 xml:space="preserve">The body size of </w:t>
            </w:r>
            <w:proofErr w:type="spellStart"/>
            <w:r w:rsidRPr="00783B13">
              <w:rPr>
                <w:b w:val="0"/>
                <w:szCs w:val="24"/>
                <w:lang w:val="en-US"/>
              </w:rPr>
              <w:t>turriteline</w:t>
            </w:r>
            <w:proofErr w:type="spellEnd"/>
            <w:r w:rsidRPr="00783B13">
              <w:rPr>
                <w:b w:val="0"/>
                <w:szCs w:val="24"/>
                <w:lang w:val="en-US"/>
              </w:rPr>
              <w:t xml:space="preserve"> gastropods evolves over geological time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Biology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81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184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  <w:proofErr w:type="gram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Wagner P et al. (2018)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 xml:space="preserve">If </w:t>
            </w:r>
            <w:proofErr w:type="spellStart"/>
            <w:r w:rsidRPr="00783B13">
              <w:rPr>
                <w:b w:val="0"/>
                <w:szCs w:val="24"/>
                <w:lang w:val="en-US"/>
              </w:rPr>
              <w:t>macroecological</w:t>
            </w:r>
            <w:proofErr w:type="spellEnd"/>
            <w:r w:rsidRPr="00783B13">
              <w:rPr>
                <w:b w:val="0"/>
                <w:szCs w:val="24"/>
                <w:lang w:val="en-US"/>
              </w:rPr>
              <w:t xml:space="preserve"> success reflects </w:t>
            </w:r>
            <w:proofErr w:type="spellStart"/>
            <w:r w:rsidRPr="00783B13">
              <w:rPr>
                <w:b w:val="0"/>
                <w:szCs w:val="24"/>
                <w:lang w:val="en-US"/>
              </w:rPr>
              <w:t>autapomorphic</w:t>
            </w:r>
            <w:proofErr w:type="spellEnd"/>
            <w:r w:rsidRPr="00783B13">
              <w:rPr>
                <w:b w:val="0"/>
                <w:szCs w:val="24"/>
                <w:lang w:val="en-US"/>
              </w:rPr>
              <w:t xml:space="preserve"> traits, then generic occupancy should be a byproduct of species richness among genera and occupancy of constituent species</w:t>
            </w:r>
          </w:p>
        </w:tc>
        <w:tc>
          <w:tcPr>
            <w:tcW w:w="2699" w:type="dxa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2A2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0602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602A2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Allen BJ et al. (2023)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 xml:space="preserve">Spatial variation in origin and extinction helps unravel the mechanisms underlying </w:t>
            </w:r>
            <w:proofErr w:type="spellStart"/>
            <w:r w:rsidRPr="00783B13">
              <w:rPr>
                <w:b w:val="0"/>
                <w:szCs w:val="24"/>
                <w:lang w:val="en-US"/>
              </w:rPr>
              <w:t>macroevolutionary</w:t>
            </w:r>
            <w:proofErr w:type="spellEnd"/>
            <w:r w:rsidRPr="00783B13">
              <w:rPr>
                <w:b w:val="0"/>
                <w:szCs w:val="24"/>
                <w:lang w:val="en-US"/>
              </w:rPr>
              <w:t xml:space="preserve"> patterns</w:t>
            </w:r>
          </w:p>
        </w:tc>
        <w:tc>
          <w:tcPr>
            <w:tcW w:w="2699" w:type="dxa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2A2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0602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602A2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Simpson LA et al. (2016)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Local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proofErr w:type="spellStart"/>
            <w:r w:rsidRPr="00783B13">
              <w:rPr>
                <w:b w:val="0"/>
                <w:szCs w:val="24"/>
                <w:lang w:val="en-US"/>
              </w:rPr>
              <w:t>Rensch's</w:t>
            </w:r>
            <w:proofErr w:type="spellEnd"/>
            <w:r w:rsidRPr="00783B13">
              <w:rPr>
                <w:b w:val="0"/>
                <w:szCs w:val="24"/>
                <w:lang w:val="en-US"/>
              </w:rPr>
              <w:t xml:space="preserve"> rule applies to the superfamily </w:t>
            </w:r>
            <w:proofErr w:type="spellStart"/>
            <w:r w:rsidRPr="00783B13">
              <w:rPr>
                <w:b w:val="0"/>
                <w:szCs w:val="24"/>
                <w:lang w:val="en-US"/>
              </w:rPr>
              <w:t>Majoidea</w:t>
            </w:r>
            <w:proofErr w:type="spellEnd"/>
            <w:r w:rsidRPr="00783B13">
              <w:rPr>
                <w:b w:val="0"/>
                <w:szCs w:val="24"/>
                <w:lang w:val="en-US"/>
              </w:rPr>
              <w:t>, a diverse clade of 'spider crabs'</w:t>
            </w:r>
          </w:p>
        </w:tc>
        <w:tc>
          <w:tcPr>
            <w:tcW w:w="2699" w:type="dxa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2A2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0602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602A2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Jackob W, Schierwater B (2007)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Regional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proofErr w:type="spellStart"/>
            <w:r w:rsidRPr="00783B13">
              <w:rPr>
                <w:b w:val="0"/>
                <w:szCs w:val="24"/>
                <w:lang w:val="en-US"/>
              </w:rPr>
              <w:t>Hox</w:t>
            </w:r>
            <w:proofErr w:type="spellEnd"/>
            <w:r w:rsidRPr="00783B13">
              <w:rPr>
                <w:b w:val="0"/>
                <w:szCs w:val="24"/>
                <w:lang w:val="en-US"/>
              </w:rPr>
              <w:t xml:space="preserve">-like genes are involved in axial patterning in </w:t>
            </w:r>
            <w:proofErr w:type="spellStart"/>
            <w:r w:rsidRPr="00783B13">
              <w:rPr>
                <w:b w:val="0"/>
                <w:szCs w:val="24"/>
                <w:lang w:val="en-US"/>
              </w:rPr>
              <w:t>Cnidaria</w:t>
            </w:r>
            <w:proofErr w:type="spellEnd"/>
            <w:r w:rsidRPr="00783B13">
              <w:rPr>
                <w:b w:val="0"/>
                <w:szCs w:val="24"/>
                <w:lang w:val="en-US"/>
              </w:rPr>
              <w:t xml:space="preserve"> and play roles in the genetic control of many of the observed </w:t>
            </w:r>
            <w:proofErr w:type="spellStart"/>
            <w:r w:rsidRPr="00783B13">
              <w:rPr>
                <w:b w:val="0"/>
                <w:szCs w:val="24"/>
                <w:lang w:val="en-US"/>
              </w:rPr>
              <w:t>bauplan</w:t>
            </w:r>
            <w:proofErr w:type="spellEnd"/>
            <w:r w:rsidRPr="00783B13">
              <w:rPr>
                <w:b w:val="0"/>
                <w:szCs w:val="24"/>
                <w:lang w:val="en-US"/>
              </w:rPr>
              <w:t xml:space="preserve"> changes</w:t>
            </w:r>
          </w:p>
        </w:tc>
        <w:tc>
          <w:tcPr>
            <w:tcW w:w="2699" w:type="dxa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2A2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0602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602A2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Carranza A et al. (2010)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Regional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The phylogenetic structure of an assemblage of benthic gastropods in the southwestern Atlantic Ocean presents links with spatial distribution patterns</w:t>
            </w:r>
          </w:p>
        </w:tc>
        <w:tc>
          <w:tcPr>
            <w:tcW w:w="2699" w:type="dxa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2A2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0602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602A2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Dmitriev VY (2016)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Local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*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Biogeography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Campbell MD et al. (2021)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Bergman's rule applies globally in copepods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Genetic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proofErr w:type="gram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Lopez-</w:t>
            </w: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Villalta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JS (2016)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 xml:space="preserve">The first emergence of predatory animals would have accelerated evolution and diversification, increasing the natural selection of prey and initiating </w:t>
            </w:r>
            <w:proofErr w:type="spellStart"/>
            <w:r w:rsidRPr="00783B13">
              <w:rPr>
                <w:b w:val="0"/>
                <w:szCs w:val="24"/>
                <w:lang w:val="en-US"/>
              </w:rPr>
              <w:t>coevolutionary</w:t>
            </w:r>
            <w:proofErr w:type="spellEnd"/>
            <w:r w:rsidRPr="00783B13">
              <w:rPr>
                <w:b w:val="0"/>
                <w:szCs w:val="24"/>
                <w:lang w:val="en-US"/>
              </w:rPr>
              <w:t xml:space="preserve"> arms </w:t>
            </w:r>
            <w:r w:rsidRPr="00783B13">
              <w:rPr>
                <w:b w:val="0"/>
                <w:szCs w:val="24"/>
                <w:lang w:val="en-US"/>
              </w:rPr>
              <w:lastRenderedPageBreak/>
              <w:t>races between predators and prey, the predation hypothesis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Philogeny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Biogeography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Miler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AL, </w:t>
            </w: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Foote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 (1996)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Sample size influences the calibration of what is generally considered one of the most significant increases in global biodiversity in the history of life: the Ordovician Radiation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Taxonomy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Gomez LA, Garcia CB (2017)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Regional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Size variations in benthic megafauna of the tropics are influenced by biotic and abiotic factors, hypothesized from the deep-sea ecology of subtropical and temperate areas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Biogeography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81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proofErr w:type="gram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Liang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 et al. (2023)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*</w:t>
            </w:r>
          </w:p>
        </w:tc>
        <w:tc>
          <w:tcPr>
            <w:tcW w:w="2699" w:type="dxa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6D10">
              <w:rPr>
                <w:rFonts w:ascii="Times New Roman" w:hAnsi="Times New Roman" w:cs="Times New Roman"/>
                <w:sz w:val="24"/>
                <w:szCs w:val="24"/>
              </w:rPr>
              <w:t>Biogeography</w:t>
            </w:r>
            <w:proofErr w:type="spellEnd"/>
            <w:r w:rsidRPr="005A6D1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5A6D10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proofErr w:type="gram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Hein NA, </w:t>
            </w: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Peters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 (2011)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Taxa within a region should have equal probabilities of extinction regardless of global distributions</w:t>
            </w:r>
          </w:p>
        </w:tc>
        <w:tc>
          <w:tcPr>
            <w:tcW w:w="2699" w:type="dxa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6D10">
              <w:rPr>
                <w:rFonts w:ascii="Times New Roman" w:hAnsi="Times New Roman" w:cs="Times New Roman"/>
                <w:sz w:val="24"/>
                <w:szCs w:val="24"/>
              </w:rPr>
              <w:t>Biogeography</w:t>
            </w:r>
            <w:proofErr w:type="spellEnd"/>
            <w:r w:rsidRPr="005A6D1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5A6D10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proofErr w:type="gram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Liow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LA et al. (2015)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Bivalves outcompeted brachiopods evolutionarily, because brachiopod diversity decreased over time, while bivalve diversity increased</w:t>
            </w:r>
          </w:p>
        </w:tc>
        <w:tc>
          <w:tcPr>
            <w:tcW w:w="2699" w:type="dxa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6D10">
              <w:rPr>
                <w:rFonts w:ascii="Times New Roman" w:hAnsi="Times New Roman" w:cs="Times New Roman"/>
                <w:sz w:val="24"/>
                <w:szCs w:val="24"/>
              </w:rPr>
              <w:t>Biogeography</w:t>
            </w:r>
            <w:proofErr w:type="spellEnd"/>
            <w:r w:rsidRPr="005A6D1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5A6D10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proofErr w:type="gram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Antell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GT et al. (2019)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The number of potential competitors in a region does not explain the geographic distribution of constituent species or genera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Biology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83B13">
              <w:rPr>
                <w:rFonts w:ascii="Times New Roman" w:hAnsi="Times New Roman" w:cs="Times New Roman"/>
                <w:sz w:val="24"/>
                <w:szCs w:val="24"/>
              </w:rPr>
              <w:t>acroevolu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Peterson KJ (2005)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 xml:space="preserve">Initial exploitation of the predator-free pelagic realm by </w:t>
            </w:r>
            <w:proofErr w:type="spellStart"/>
            <w:r w:rsidRPr="00783B13">
              <w:rPr>
                <w:b w:val="0"/>
                <w:szCs w:val="24"/>
                <w:lang w:val="en-US"/>
              </w:rPr>
              <w:t>lecithotrophic</w:t>
            </w:r>
            <w:proofErr w:type="spellEnd"/>
            <w:r w:rsidRPr="00783B13">
              <w:rPr>
                <w:b w:val="0"/>
                <w:szCs w:val="24"/>
                <w:lang w:val="en-US"/>
              </w:rPr>
              <w:t xml:space="preserve"> larvae was achieved independently several times in the late-early Cambrian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Biology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Ecology</w:t>
            </w:r>
            <w:proofErr w:type="spellEnd"/>
          </w:p>
        </w:tc>
      </w:tr>
      <w:tr w:rsidR="00BD4E5C" w:rsidRPr="006E431A" w:rsidTr="00853777">
        <w:trPr>
          <w:trHeight w:val="633"/>
        </w:trPr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Foote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 et al. (2018)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Diversification rates were influenced by levels of standing diversity within this major clade of marine zooplankton</w:t>
            </w:r>
          </w:p>
        </w:tc>
        <w:tc>
          <w:tcPr>
            <w:tcW w:w="2699" w:type="dxa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A50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C14A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4A50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Cole SR et al. (2019)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Niche differences between species were mainly determined by characters related to the morphology of the filtration fan</w:t>
            </w:r>
          </w:p>
        </w:tc>
        <w:tc>
          <w:tcPr>
            <w:tcW w:w="2699" w:type="dxa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A50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C14A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4A50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Blackburn TM et al. (2006)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Local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There is variation in abundance-distribution relationships across different factors</w:t>
            </w:r>
          </w:p>
        </w:tc>
        <w:tc>
          <w:tcPr>
            <w:tcW w:w="2699" w:type="dxa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A50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C14A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4A50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Rapaccioulo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 et al. (2019)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Diversity patterns of free-living microbes and macroinvertebrates are evolutionarily similar</w:t>
            </w:r>
          </w:p>
        </w:tc>
        <w:tc>
          <w:tcPr>
            <w:tcW w:w="2699" w:type="dxa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A50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C14A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4A50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Fobert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EK et al. (2019)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There is an influence of larval characteristics on depth distribution and dispersal results</w:t>
            </w:r>
          </w:p>
        </w:tc>
        <w:tc>
          <w:tcPr>
            <w:tcW w:w="2699" w:type="dxa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A50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C14A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4A50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Lefebvre B et al. (2006)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 xml:space="preserve">Diversity, disparity, and </w:t>
            </w:r>
            <w:proofErr w:type="spellStart"/>
            <w:r w:rsidRPr="00783B13">
              <w:rPr>
                <w:b w:val="0"/>
                <w:szCs w:val="24"/>
                <w:lang w:val="en-US"/>
              </w:rPr>
              <w:t>paleogeographic</w:t>
            </w:r>
            <w:proofErr w:type="spellEnd"/>
            <w:r w:rsidRPr="00783B13">
              <w:rPr>
                <w:b w:val="0"/>
                <w:szCs w:val="24"/>
                <w:lang w:val="en-US"/>
              </w:rPr>
              <w:t xml:space="preserve"> dispersal describe the evolutionary history of an extinct echinoderm clade</w:t>
            </w:r>
          </w:p>
        </w:tc>
        <w:tc>
          <w:tcPr>
            <w:tcW w:w="2699" w:type="dxa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A50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C14A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4A50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Cermeno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 et al. (2022)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Biological interactions have restricted the growth of diversity over evolutionary time</w:t>
            </w:r>
          </w:p>
        </w:tc>
        <w:tc>
          <w:tcPr>
            <w:tcW w:w="2699" w:type="dxa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A50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C14A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4A50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Martinez-Redondo GL et al. (2022)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 xml:space="preserve">Animals overcame </w:t>
            </w:r>
            <w:proofErr w:type="spellStart"/>
            <w:r w:rsidRPr="00783B13">
              <w:rPr>
                <w:b w:val="0"/>
                <w:szCs w:val="24"/>
                <w:lang w:val="en-US"/>
              </w:rPr>
              <w:t>terrestrialization</w:t>
            </w:r>
            <w:proofErr w:type="spellEnd"/>
            <w:r w:rsidRPr="00783B13">
              <w:rPr>
                <w:b w:val="0"/>
                <w:szCs w:val="24"/>
                <w:lang w:val="en-US"/>
              </w:rPr>
              <w:t xml:space="preserve"> (i.e., the transition from sea to land) and loss of water, which alters their osmotic and water homeostasis, through </w:t>
            </w:r>
            <w:proofErr w:type="spellStart"/>
            <w:r w:rsidRPr="00783B13">
              <w:rPr>
                <w:b w:val="0"/>
                <w:szCs w:val="24"/>
                <w:lang w:val="en-US"/>
              </w:rPr>
              <w:t>aquaporins</w:t>
            </w:r>
            <w:proofErr w:type="spellEnd"/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Ecology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Caro AU et al. (2010)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Regional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 xml:space="preserve">The spatial variation observed within a rocky intertidal </w:t>
            </w:r>
            <w:proofErr w:type="spellStart"/>
            <w:r w:rsidRPr="00783B13">
              <w:rPr>
                <w:b w:val="0"/>
                <w:szCs w:val="24"/>
                <w:lang w:val="en-US"/>
              </w:rPr>
              <w:t>metacommunity</w:t>
            </w:r>
            <w:proofErr w:type="spellEnd"/>
            <w:r w:rsidRPr="00783B13">
              <w:rPr>
                <w:b w:val="0"/>
                <w:szCs w:val="24"/>
                <w:lang w:val="en-US"/>
              </w:rPr>
              <w:t xml:space="preserve"> along 800 km of coastline </w:t>
            </w:r>
            <w:proofErr w:type="gramStart"/>
            <w:r w:rsidRPr="00783B13">
              <w:rPr>
                <w:b w:val="0"/>
                <w:szCs w:val="24"/>
                <w:lang w:val="en-US"/>
              </w:rPr>
              <w:t>can be explained</w:t>
            </w:r>
            <w:proofErr w:type="gramEnd"/>
            <w:r w:rsidRPr="00783B13">
              <w:rPr>
                <w:b w:val="0"/>
                <w:szCs w:val="24"/>
                <w:lang w:val="en-US"/>
              </w:rPr>
              <w:t xml:space="preserve"> by drift in the structure of recruits at 15 local sites.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Ecology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Cheung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WWL et al. (2008)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Local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Global changes are shaping the ecology and biogeography of marine species and their fisheries</w:t>
            </w:r>
          </w:p>
        </w:tc>
        <w:tc>
          <w:tcPr>
            <w:tcW w:w="2699" w:type="dxa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6EA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1D66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66EA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Kowaleweski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 et al. (2006)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Removal of brachiopods, which were a notable component of Jurassic samples, did not significantly affect standardized sample-level diversity estimates</w:t>
            </w:r>
          </w:p>
        </w:tc>
        <w:tc>
          <w:tcPr>
            <w:tcW w:w="2699" w:type="dxa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6EA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1D66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66EA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Aberhan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 et al. (2006)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 xml:space="preserve">Patterns of changes in global relative abundances and diversity of ecological groups infer the role of biological interactions as driving forces in Middle Mesozoic </w:t>
            </w:r>
            <w:proofErr w:type="spellStart"/>
            <w:r w:rsidRPr="00783B13">
              <w:rPr>
                <w:b w:val="0"/>
                <w:szCs w:val="24"/>
                <w:lang w:val="en-US"/>
              </w:rPr>
              <w:t>macrobenthic</w:t>
            </w:r>
            <w:proofErr w:type="spellEnd"/>
            <w:r w:rsidRPr="00783B13">
              <w:rPr>
                <w:b w:val="0"/>
                <w:szCs w:val="24"/>
                <w:lang w:val="en-US"/>
              </w:rPr>
              <w:t xml:space="preserve"> marine ecosystems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Genetic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Wieters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EA et al. (2008)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 xml:space="preserve">Patterns of change in global relative abundances and diversity of ecological groups influence the role of biological interactions as driving forces in Middle Mesozoic </w:t>
            </w:r>
            <w:proofErr w:type="spellStart"/>
            <w:r w:rsidRPr="00783B13">
              <w:rPr>
                <w:b w:val="0"/>
                <w:szCs w:val="24"/>
                <w:lang w:val="en-US"/>
              </w:rPr>
              <w:t>macrobenthic</w:t>
            </w:r>
            <w:proofErr w:type="spellEnd"/>
            <w:r w:rsidRPr="00783B13">
              <w:rPr>
                <w:b w:val="0"/>
                <w:szCs w:val="24"/>
                <w:lang w:val="en-US"/>
              </w:rPr>
              <w:t xml:space="preserve"> marine ecosystems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6EA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1D66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66EA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Mayhel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PJ et al. (2012)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Rising temperatures predict extinction and origination rates, along with other abiotic and biotic predictor variables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6EA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1D66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Ecology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Fogoo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et al. (2007)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Regional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The different modes of dispersal and development of marine macroinvertebrates are related to the slopes and elevations of interspecific abundance-occupancy relationships</w:t>
            </w:r>
          </w:p>
        </w:tc>
        <w:tc>
          <w:tcPr>
            <w:tcW w:w="2699" w:type="dxa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DAB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A45D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45DAB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Jablonski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D, </w:t>
            </w: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Bottjer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DJ (1991)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The pattern of preferred origin on land is not a preservation or collection artifact</w:t>
            </w:r>
          </w:p>
        </w:tc>
        <w:tc>
          <w:tcPr>
            <w:tcW w:w="2699" w:type="dxa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DAB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A45D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45DAB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Salamon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 et al. (2023)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 xml:space="preserve">Crinoid calyx </w:t>
            </w:r>
            <w:proofErr w:type="spellStart"/>
            <w:r w:rsidRPr="00783B13">
              <w:rPr>
                <w:b w:val="0"/>
                <w:szCs w:val="24"/>
                <w:lang w:val="en-US"/>
              </w:rPr>
              <w:t>biovolumes</w:t>
            </w:r>
            <w:proofErr w:type="spellEnd"/>
            <w:r w:rsidRPr="00783B13">
              <w:rPr>
                <w:b w:val="0"/>
                <w:szCs w:val="24"/>
                <w:lang w:val="en-US"/>
              </w:rPr>
              <w:t xml:space="preserve"> change their dynamics throughout the Paleozoic and Mesozoic to explore their size dynamics</w:t>
            </w:r>
          </w:p>
        </w:tc>
        <w:tc>
          <w:tcPr>
            <w:tcW w:w="2699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6EA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1D66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Ecology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Jarvis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GC et al. (2023)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The mode of fertilization shows evolutionary associations with traits other than primary sexual characteristics</w:t>
            </w:r>
          </w:p>
        </w:tc>
        <w:tc>
          <w:tcPr>
            <w:tcW w:w="2699" w:type="dxa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FAA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064F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64FAA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Martino ED, </w:t>
            </w: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Liow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LH (2021)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Associations between traits and fitness exist over 2 million years in marine colonial organisms commonly preserved in the fossil record</w:t>
            </w:r>
          </w:p>
        </w:tc>
        <w:tc>
          <w:tcPr>
            <w:tcW w:w="2699" w:type="dxa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FAA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064F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64FAA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Lemsdell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JC (2020)</w:t>
            </w:r>
          </w:p>
        </w:tc>
        <w:tc>
          <w:tcPr>
            <w:tcW w:w="1428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*</w:t>
            </w:r>
          </w:p>
        </w:tc>
        <w:tc>
          <w:tcPr>
            <w:tcW w:w="2699" w:type="dxa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F14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007F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7F14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  <w:tr w:rsidR="00BD4E5C" w:rsidRPr="006E431A" w:rsidTr="00853777"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Browm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A, </w:t>
            </w:r>
            <w:proofErr w:type="spellStart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>Thatje</w:t>
            </w:r>
            <w:proofErr w:type="spellEnd"/>
            <w:r w:rsidRPr="00783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 (2013)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</w:rPr>
            </w:pPr>
            <w:r w:rsidRPr="00783B13">
              <w:rPr>
                <w:b w:val="0"/>
                <w:szCs w:val="24"/>
              </w:rPr>
              <w:t>Global</w:t>
            </w:r>
          </w:p>
        </w:tc>
        <w:tc>
          <w:tcPr>
            <w:tcW w:w="4804" w:type="dxa"/>
            <w:tcBorders>
              <w:bottom w:val="single" w:sz="4" w:space="0" w:color="auto"/>
            </w:tcBorders>
            <w:vAlign w:val="center"/>
          </w:tcPr>
          <w:p w:rsidR="00BD4E5C" w:rsidRPr="00783B13" w:rsidRDefault="00BD4E5C" w:rsidP="00853777">
            <w:pPr>
              <w:pStyle w:val="Ttulo1"/>
              <w:shd w:val="clear" w:color="auto" w:fill="FFFFFF"/>
              <w:spacing w:before="0" w:line="360" w:lineRule="auto"/>
              <w:jc w:val="center"/>
              <w:rPr>
                <w:b w:val="0"/>
                <w:szCs w:val="24"/>
                <w:lang w:val="en-US"/>
              </w:rPr>
            </w:pPr>
            <w:r w:rsidRPr="00783B13">
              <w:rPr>
                <w:b w:val="0"/>
                <w:szCs w:val="24"/>
                <w:lang w:val="en-US"/>
              </w:rPr>
              <w:t>Low temperature and high pressure act through hierarchical levels of biological organization and limit the distribution of shallow-water species</w:t>
            </w:r>
          </w:p>
        </w:tc>
        <w:tc>
          <w:tcPr>
            <w:tcW w:w="2699" w:type="dxa"/>
            <w:tcBorders>
              <w:bottom w:val="single" w:sz="4" w:space="0" w:color="auto"/>
            </w:tcBorders>
          </w:tcPr>
          <w:p w:rsidR="00BD4E5C" w:rsidRPr="00783B13" w:rsidRDefault="00BD4E5C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F14">
              <w:rPr>
                <w:rFonts w:ascii="Times New Roman" w:hAnsi="Times New Roman" w:cs="Times New Roman"/>
                <w:sz w:val="24"/>
                <w:szCs w:val="24"/>
              </w:rPr>
              <w:t>Macroecology</w:t>
            </w:r>
            <w:proofErr w:type="spellEnd"/>
            <w:r w:rsidRPr="00007F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7F14">
              <w:rPr>
                <w:rFonts w:ascii="Times New Roman" w:hAnsi="Times New Roman" w:cs="Times New Roman"/>
                <w:sz w:val="24"/>
                <w:szCs w:val="24"/>
              </w:rPr>
              <w:t>Macroevolution</w:t>
            </w:r>
            <w:proofErr w:type="spellEnd"/>
          </w:p>
        </w:tc>
      </w:tr>
    </w:tbl>
    <w:p w:rsidR="00BD4E5C" w:rsidRDefault="00BD4E5C" w:rsidP="00BD4E5C">
      <w:pPr>
        <w:spacing w:line="36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BD4E5C" w:rsidRDefault="00BD4E5C" w:rsidP="00BD4E5C">
      <w:pPr>
        <w:spacing w:line="36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BD4E5C" w:rsidRDefault="00BD4E5C" w:rsidP="00BD4E5C">
      <w:pPr>
        <w:spacing w:line="36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BD4E5C" w:rsidRDefault="00BD4E5C" w:rsidP="00BD4E5C">
      <w:pPr>
        <w:spacing w:line="36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BD4E5C" w:rsidRDefault="00BD4E5C" w:rsidP="00BD4E5C">
      <w:pPr>
        <w:spacing w:line="36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BD4E5C" w:rsidRDefault="00BD4E5C" w:rsidP="00BD4E5C">
      <w:pPr>
        <w:spacing w:line="36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BD4E5C" w:rsidRDefault="00BD4E5C" w:rsidP="00BD4E5C">
      <w:pPr>
        <w:spacing w:line="36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BD4E5C" w:rsidRDefault="00BD4E5C" w:rsidP="00BD4E5C">
      <w:pPr>
        <w:spacing w:line="36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BD4E5C" w:rsidRDefault="00BD4E5C" w:rsidP="00BD4E5C">
      <w:pPr>
        <w:spacing w:line="36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BD4E5C" w:rsidRDefault="00BD4E5C" w:rsidP="00BD4E5C"/>
    <w:p w:rsidR="00BD4E5C" w:rsidRDefault="00BD4E5C" w:rsidP="00BD4E5C"/>
    <w:p w:rsidR="00B047E0" w:rsidRDefault="0071546E"/>
    <w:sectPr w:rsidR="00B047E0" w:rsidSect="00BD4E5C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53064"/>
    <w:multiLevelType w:val="hybridMultilevel"/>
    <w:tmpl w:val="301E65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A4519"/>
    <w:multiLevelType w:val="multilevel"/>
    <w:tmpl w:val="3282090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01254"/>
    <w:multiLevelType w:val="hybridMultilevel"/>
    <w:tmpl w:val="C44C36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A7EBB"/>
    <w:multiLevelType w:val="hybridMultilevel"/>
    <w:tmpl w:val="7F52D8E4"/>
    <w:lvl w:ilvl="0" w:tplc="23C0F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85697"/>
    <w:multiLevelType w:val="hybridMultilevel"/>
    <w:tmpl w:val="547CA1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54DD9"/>
    <w:multiLevelType w:val="multilevel"/>
    <w:tmpl w:val="7598B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595DCC"/>
    <w:multiLevelType w:val="hybridMultilevel"/>
    <w:tmpl w:val="20DC1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C1A73"/>
    <w:multiLevelType w:val="hybridMultilevel"/>
    <w:tmpl w:val="A5FA13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371FA"/>
    <w:multiLevelType w:val="hybridMultilevel"/>
    <w:tmpl w:val="C7B85772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1BB2091"/>
    <w:multiLevelType w:val="hybridMultilevel"/>
    <w:tmpl w:val="41105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D7FFE"/>
    <w:multiLevelType w:val="hybridMultilevel"/>
    <w:tmpl w:val="EE8C31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7A2BA2"/>
    <w:multiLevelType w:val="hybridMultilevel"/>
    <w:tmpl w:val="2D7670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11"/>
  </w:num>
  <w:num w:numId="5">
    <w:abstractNumId w:val="10"/>
  </w:num>
  <w:num w:numId="6">
    <w:abstractNumId w:val="0"/>
  </w:num>
  <w:num w:numId="7">
    <w:abstractNumId w:val="3"/>
  </w:num>
  <w:num w:numId="8">
    <w:abstractNumId w:val="6"/>
  </w:num>
  <w:num w:numId="9">
    <w:abstractNumId w:val="9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E5C"/>
    <w:rsid w:val="000101EC"/>
    <w:rsid w:val="0071546E"/>
    <w:rsid w:val="00A22F8F"/>
    <w:rsid w:val="00BD4E5C"/>
    <w:rsid w:val="00E2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15609E4-F5D2-4B55-94EB-2E07D0262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E5C"/>
  </w:style>
  <w:style w:type="paragraph" w:styleId="Ttulo1">
    <w:name w:val="heading 1"/>
    <w:basedOn w:val="Normal"/>
    <w:next w:val="Normal"/>
    <w:link w:val="Ttulo1Char"/>
    <w:uiPriority w:val="9"/>
    <w:qFormat/>
    <w:rsid w:val="00A22F8F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D4E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LO-normal"/>
    <w:next w:val="LO-normal"/>
    <w:link w:val="Ttulo3Char"/>
    <w:uiPriority w:val="9"/>
    <w:semiHidden/>
    <w:unhideWhenUsed/>
    <w:qFormat/>
    <w:rsid w:val="00BD4E5C"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link w:val="Ttulo4Char"/>
    <w:uiPriority w:val="9"/>
    <w:semiHidden/>
    <w:unhideWhenUsed/>
    <w:qFormat/>
    <w:rsid w:val="00BD4E5C"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link w:val="Ttulo5Char"/>
    <w:uiPriority w:val="9"/>
    <w:semiHidden/>
    <w:unhideWhenUsed/>
    <w:qFormat/>
    <w:rsid w:val="00BD4E5C"/>
    <w:pPr>
      <w:keepNext/>
      <w:keepLines/>
      <w:spacing w:before="220" w:after="40" w:line="240" w:lineRule="auto"/>
      <w:outlineLvl w:val="4"/>
    </w:pPr>
    <w:rPr>
      <w:b/>
    </w:rPr>
  </w:style>
  <w:style w:type="paragraph" w:styleId="Ttulo6">
    <w:name w:val="heading 6"/>
    <w:basedOn w:val="LO-normal"/>
    <w:next w:val="LO-normal"/>
    <w:link w:val="Ttulo6Char"/>
    <w:uiPriority w:val="9"/>
    <w:semiHidden/>
    <w:unhideWhenUsed/>
    <w:qFormat/>
    <w:rsid w:val="00BD4E5C"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22F8F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BD4E5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D4E5C"/>
    <w:rPr>
      <w:rFonts w:ascii="Calibri" w:eastAsia="Calibri" w:hAnsi="Calibri" w:cs="Calibri"/>
      <w:b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D4E5C"/>
    <w:rPr>
      <w:rFonts w:ascii="Calibri" w:eastAsia="Calibri" w:hAnsi="Calibri" w:cs="Calibri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D4E5C"/>
    <w:rPr>
      <w:rFonts w:ascii="Calibri" w:eastAsia="Calibri" w:hAnsi="Calibri" w:cs="Calibri"/>
      <w:b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D4E5C"/>
    <w:rPr>
      <w:rFonts w:ascii="Calibri" w:eastAsia="Calibri" w:hAnsi="Calibri" w:cs="Calibri"/>
      <w:b/>
      <w:sz w:val="20"/>
      <w:szCs w:val="20"/>
      <w:lang w:eastAsia="pt-BR"/>
    </w:rPr>
  </w:style>
  <w:style w:type="paragraph" w:customStyle="1" w:styleId="LO-normal">
    <w:name w:val="LO-normal"/>
    <w:qFormat/>
    <w:rsid w:val="00BD4E5C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BD4E5C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D4E5C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BD4E5C"/>
    <w:rPr>
      <w:i/>
      <w:iCs/>
    </w:rPr>
  </w:style>
  <w:style w:type="character" w:customStyle="1" w:styleId="ff2">
    <w:name w:val="ff2"/>
    <w:basedOn w:val="Fontepargpadro"/>
    <w:rsid w:val="00BD4E5C"/>
  </w:style>
  <w:style w:type="character" w:customStyle="1" w:styleId="a">
    <w:name w:val="_"/>
    <w:basedOn w:val="Fontepargpadro"/>
    <w:rsid w:val="00BD4E5C"/>
  </w:style>
  <w:style w:type="paragraph" w:styleId="Cabealho">
    <w:name w:val="header"/>
    <w:basedOn w:val="Normal"/>
    <w:link w:val="CabealhoChar"/>
    <w:uiPriority w:val="99"/>
    <w:unhideWhenUsed/>
    <w:rsid w:val="00BD4E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4E5C"/>
  </w:style>
  <w:style w:type="paragraph" w:styleId="Rodap">
    <w:name w:val="footer"/>
    <w:basedOn w:val="Normal"/>
    <w:link w:val="RodapChar"/>
    <w:uiPriority w:val="99"/>
    <w:unhideWhenUsed/>
    <w:rsid w:val="00BD4E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4E5C"/>
  </w:style>
  <w:style w:type="character" w:styleId="Forte">
    <w:name w:val="Strong"/>
    <w:basedOn w:val="Fontepargpadro"/>
    <w:uiPriority w:val="22"/>
    <w:qFormat/>
    <w:rsid w:val="00BD4E5C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BD4E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BD4E5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BD4E5C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BD4E5C"/>
    <w:rPr>
      <w:b/>
      <w:bCs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BD4E5C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BD4E5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D4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4E5C"/>
    <w:rPr>
      <w:rFonts w:ascii="Segoe UI" w:hAnsi="Segoe UI" w:cs="Segoe UI"/>
      <w:sz w:val="18"/>
      <w:szCs w:val="18"/>
    </w:rPr>
  </w:style>
  <w:style w:type="character" w:customStyle="1" w:styleId="title-text">
    <w:name w:val="title-text"/>
    <w:basedOn w:val="Fontepargpadro"/>
    <w:rsid w:val="00BD4E5C"/>
  </w:style>
  <w:style w:type="table" w:styleId="TabeladeLista2">
    <w:name w:val="List Table 2"/>
    <w:basedOn w:val="Tabelanormal"/>
    <w:uiPriority w:val="47"/>
    <w:rsid w:val="00BD4E5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unhideWhenUsed/>
    <w:rsid w:val="00BD4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SombreamentoClaro">
    <w:name w:val="Light Shading"/>
    <w:basedOn w:val="Tabelanormal"/>
    <w:uiPriority w:val="60"/>
    <w:rsid w:val="00BD4E5C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tulo">
    <w:name w:val="Title"/>
    <w:basedOn w:val="LO-normal"/>
    <w:next w:val="Corpodetexto"/>
    <w:link w:val="TtuloChar"/>
    <w:uiPriority w:val="10"/>
    <w:qFormat/>
    <w:rsid w:val="00BD4E5C"/>
    <w:pPr>
      <w:keepNext/>
      <w:keepLines/>
      <w:spacing w:before="480" w:after="120" w:line="240" w:lineRule="auto"/>
    </w:pPr>
    <w:rPr>
      <w:b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BD4E5C"/>
    <w:rPr>
      <w:rFonts w:ascii="Calibri" w:eastAsia="Calibri" w:hAnsi="Calibri" w:cs="Calibri"/>
      <w:b/>
      <w:sz w:val="72"/>
      <w:szCs w:val="72"/>
      <w:lang w:eastAsia="pt-BR"/>
    </w:rPr>
  </w:style>
  <w:style w:type="paragraph" w:styleId="Corpodetexto">
    <w:name w:val="Body Text"/>
    <w:basedOn w:val="Normal"/>
    <w:link w:val="CorpodetextoChar"/>
    <w:rsid w:val="00BD4E5C"/>
    <w:pPr>
      <w:spacing w:after="140" w:line="276" w:lineRule="auto"/>
    </w:pPr>
    <w:rPr>
      <w:rFonts w:ascii="Calibri" w:eastAsia="Calibri" w:hAnsi="Calibri" w:cs="Calibri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BD4E5C"/>
    <w:rPr>
      <w:rFonts w:ascii="Calibri" w:eastAsia="Calibri" w:hAnsi="Calibri" w:cs="Calibri"/>
      <w:lang w:eastAsia="pt-BR"/>
    </w:rPr>
  </w:style>
  <w:style w:type="character" w:customStyle="1" w:styleId="muxgbd">
    <w:name w:val="muxgbd"/>
    <w:basedOn w:val="Fontepargpadro"/>
    <w:qFormat/>
    <w:rsid w:val="00BD4E5C"/>
  </w:style>
  <w:style w:type="character" w:customStyle="1" w:styleId="Numeraodelinhas">
    <w:name w:val="Numeração de linhas"/>
    <w:rsid w:val="00BD4E5C"/>
  </w:style>
  <w:style w:type="paragraph" w:styleId="Lista">
    <w:name w:val="List"/>
    <w:basedOn w:val="Corpodetexto"/>
    <w:rsid w:val="00BD4E5C"/>
    <w:rPr>
      <w:rFonts w:cs="Arial"/>
    </w:rPr>
  </w:style>
  <w:style w:type="paragraph" w:styleId="Legenda">
    <w:name w:val="caption"/>
    <w:basedOn w:val="Normal"/>
    <w:qFormat/>
    <w:rsid w:val="00BD4E5C"/>
    <w:pPr>
      <w:suppressLineNumbers/>
      <w:spacing w:before="120" w:after="120"/>
    </w:pPr>
    <w:rPr>
      <w:rFonts w:ascii="Calibri" w:eastAsia="Calibri" w:hAnsi="Calibri" w:cs="Arial"/>
      <w:i/>
      <w:iCs/>
      <w:sz w:val="24"/>
      <w:szCs w:val="24"/>
      <w:lang w:eastAsia="pt-BR"/>
    </w:rPr>
  </w:style>
  <w:style w:type="paragraph" w:customStyle="1" w:styleId="ndice">
    <w:name w:val="Índice"/>
    <w:basedOn w:val="Normal"/>
    <w:qFormat/>
    <w:rsid w:val="00BD4E5C"/>
    <w:pPr>
      <w:suppressLineNumbers/>
    </w:pPr>
    <w:rPr>
      <w:rFonts w:ascii="Calibri" w:eastAsia="Calibri" w:hAnsi="Calibri" w:cs="Arial"/>
      <w:lang w:eastAsia="pt-BR"/>
    </w:rPr>
  </w:style>
  <w:style w:type="paragraph" w:styleId="Subttulo">
    <w:name w:val="Subtitle"/>
    <w:basedOn w:val="Normal"/>
    <w:next w:val="Normal"/>
    <w:link w:val="SubttuloChar"/>
    <w:rsid w:val="00BD4E5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rsid w:val="00BD4E5C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LinkdaInternet">
    <w:name w:val="Link da Internet"/>
    <w:basedOn w:val="Fontepargpadro"/>
    <w:uiPriority w:val="99"/>
    <w:unhideWhenUsed/>
    <w:rsid w:val="00BD4E5C"/>
    <w:rPr>
      <w:color w:val="0563C1" w:themeColor="hyperlink"/>
      <w:u w:val="single"/>
    </w:rPr>
  </w:style>
  <w:style w:type="paragraph" w:customStyle="1" w:styleId="Default">
    <w:name w:val="Default"/>
    <w:rsid w:val="00BD4E5C"/>
    <w:pPr>
      <w:autoSpaceDE w:val="0"/>
      <w:autoSpaceDN w:val="0"/>
      <w:adjustRightInd w:val="0"/>
      <w:spacing w:after="0" w:line="240" w:lineRule="auto"/>
    </w:pPr>
    <w:rPr>
      <w:rFonts w:ascii="Gill Sans" w:eastAsia="Calibri" w:hAnsi="Gill Sans" w:cs="Gill Sans"/>
      <w:color w:val="000000"/>
      <w:sz w:val="24"/>
      <w:szCs w:val="24"/>
      <w:lang w:eastAsia="pt-BR"/>
    </w:rPr>
  </w:style>
  <w:style w:type="character" w:customStyle="1" w:styleId="A7">
    <w:name w:val="A7"/>
    <w:uiPriority w:val="99"/>
    <w:rsid w:val="00BD4E5C"/>
    <w:rPr>
      <w:rFonts w:cs="Gill Sans"/>
      <w:color w:val="000000"/>
      <w:sz w:val="12"/>
      <w:szCs w:val="12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BD4E5C"/>
    <w:rPr>
      <w:rFonts w:ascii="Courier New" w:eastAsia="Times New Roman" w:hAnsi="Courier New" w:cs="Courier New"/>
      <w:sz w:val="20"/>
      <w:szCs w:val="20"/>
      <w:lang w:val="en-US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BD4E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-formataoHTMLChar1">
    <w:name w:val="Pré-formatação HTML Char1"/>
    <w:basedOn w:val="Fontepargpadro"/>
    <w:uiPriority w:val="99"/>
    <w:semiHidden/>
    <w:rsid w:val="00BD4E5C"/>
    <w:rPr>
      <w:rFonts w:ascii="Consolas" w:hAnsi="Consolas"/>
      <w:sz w:val="20"/>
      <w:szCs w:val="20"/>
    </w:rPr>
  </w:style>
  <w:style w:type="character" w:customStyle="1" w:styleId="y2iqfc">
    <w:name w:val="y2iqfc"/>
    <w:basedOn w:val="Fontepargpadro"/>
    <w:rsid w:val="00BD4E5C"/>
  </w:style>
  <w:style w:type="table" w:styleId="TabeladeLista6Colorida">
    <w:name w:val="List Table 6 Colorful"/>
    <w:basedOn w:val="Tabelanormal"/>
    <w:uiPriority w:val="51"/>
    <w:rsid w:val="00BD4E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so">
    <w:name w:val="Revision"/>
    <w:hidden/>
    <w:uiPriority w:val="99"/>
    <w:semiHidden/>
    <w:qFormat/>
    <w:rsid w:val="00BD4E5C"/>
    <w:pPr>
      <w:spacing w:after="0" w:line="240" w:lineRule="auto"/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BD4E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2450</Words>
  <Characters>13232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2</cp:revision>
  <dcterms:created xsi:type="dcterms:W3CDTF">2026-02-23T15:39:00Z</dcterms:created>
  <dcterms:modified xsi:type="dcterms:W3CDTF">2026-02-23T17:29:00Z</dcterms:modified>
</cp:coreProperties>
</file>