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A848" w14:textId="77777777" w:rsidR="00CC39F0" w:rsidRPr="00CC39F0" w:rsidRDefault="00CC39F0" w:rsidP="00CC39F0">
      <w:pPr>
        <w:spacing w:line="480" w:lineRule="auto"/>
        <w:rPr>
          <w:rFonts w:ascii="Times New Roman" w:hAnsi="Times New Roman" w:cs="Times New Roman"/>
        </w:rPr>
      </w:pPr>
      <w:r w:rsidRPr="00CC39F0">
        <w:rPr>
          <w:rFonts w:ascii="Times New Roman" w:hAnsi="Times New Roman" w:cs="Times New Roman"/>
        </w:rPr>
        <w:t xml:space="preserve">Additional file </w:t>
      </w:r>
      <w:r w:rsidRPr="00CC39F0">
        <w:rPr>
          <w:rFonts w:ascii="Times New Roman" w:hAnsi="Times New Roman" w:cs="Times New Roman"/>
        </w:rPr>
        <w:t>4</w:t>
      </w:r>
      <w:r w:rsidRPr="00CC39F0">
        <w:rPr>
          <w:rFonts w:ascii="Times New Roman" w:hAnsi="Times New Roman" w:cs="Times New Roman"/>
        </w:rPr>
        <w:t>.</w:t>
      </w:r>
      <w:r w:rsidRPr="00CC39F0">
        <w:rPr>
          <w:rFonts w:ascii="Times New Roman" w:hAnsi="Times New Roman" w:cs="Times New Roman"/>
        </w:rPr>
        <w:t xml:space="preserve"> Definition of all codes</w:t>
      </w:r>
    </w:p>
    <w:p w14:paraId="4103AEDE" w14:textId="29C52418" w:rsidR="00AC1E2D" w:rsidRPr="00CC39F0" w:rsidRDefault="0000127D" w:rsidP="00CC39F0">
      <w:pPr>
        <w:spacing w:line="480" w:lineRule="auto"/>
        <w:rPr>
          <w:rFonts w:ascii="Times New Roman" w:hAnsi="Times New Roman" w:cs="Times New Roman"/>
        </w:rPr>
      </w:pPr>
      <w:r w:rsidRPr="00CC39F0">
        <w:rPr>
          <w:rFonts w:ascii="Times New Roman" w:hAnsi="Times New Roman" w:cs="Times New Roman"/>
        </w:rPr>
        <w:t xml:space="preserve">Table S4. </w:t>
      </w:r>
      <w:r w:rsidR="00C26BC0" w:rsidRPr="00CC39F0">
        <w:rPr>
          <w:rFonts w:ascii="Times New Roman" w:hAnsi="Times New Roman" w:cs="Times New Roman"/>
        </w:rPr>
        <w:t>Definition of all codes</w:t>
      </w:r>
    </w:p>
    <w:p w14:paraId="57DE7AC2" w14:textId="77777777" w:rsidR="00C655FD" w:rsidRPr="00C26BC0" w:rsidRDefault="00C655FD">
      <w:pPr>
        <w:rPr>
          <w:sz w:val="20"/>
          <w:szCs w:val="20"/>
        </w:rPr>
      </w:pPr>
    </w:p>
    <w:tbl>
      <w:tblPr>
        <w:tblW w:w="13462" w:type="dxa"/>
        <w:jc w:val="center"/>
        <w:tblBorders>
          <w:top w:val="single" w:sz="4" w:space="0" w:color="407374"/>
          <w:left w:val="single" w:sz="4" w:space="0" w:color="407374"/>
          <w:bottom w:val="single" w:sz="4" w:space="0" w:color="407374"/>
          <w:right w:val="single" w:sz="4" w:space="0" w:color="407374"/>
          <w:insideH w:val="single" w:sz="4" w:space="0" w:color="407374"/>
          <w:insideV w:val="single" w:sz="4" w:space="0" w:color="407374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268"/>
        <w:gridCol w:w="1848"/>
        <w:gridCol w:w="2688"/>
        <w:gridCol w:w="4674"/>
      </w:tblGrid>
      <w:tr w:rsidR="00C655FD" w:rsidRPr="004D3452" w14:paraId="24B227D0" w14:textId="77777777" w:rsidTr="001F688C">
        <w:trPr>
          <w:trHeight w:val="368"/>
          <w:jc w:val="center"/>
        </w:trPr>
        <w:tc>
          <w:tcPr>
            <w:tcW w:w="1984" w:type="dxa"/>
            <w:shd w:val="clear" w:color="auto" w:fill="407374"/>
            <w:vAlign w:val="center"/>
          </w:tcPr>
          <w:p w14:paraId="0905222C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D345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COM-B domain</w:t>
            </w:r>
          </w:p>
        </w:tc>
        <w:tc>
          <w:tcPr>
            <w:tcW w:w="2268" w:type="dxa"/>
            <w:shd w:val="clear" w:color="auto" w:fill="407374"/>
            <w:vAlign w:val="center"/>
          </w:tcPr>
          <w:p w14:paraId="24FCB19A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D345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Domains based on TDF</w:t>
            </w:r>
          </w:p>
        </w:tc>
        <w:tc>
          <w:tcPr>
            <w:tcW w:w="1848" w:type="dxa"/>
            <w:shd w:val="clear" w:color="auto" w:fill="407374"/>
            <w:vAlign w:val="center"/>
          </w:tcPr>
          <w:p w14:paraId="0D361C97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D345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Construct</w:t>
            </w:r>
          </w:p>
        </w:tc>
        <w:tc>
          <w:tcPr>
            <w:tcW w:w="2688" w:type="dxa"/>
            <w:shd w:val="clear" w:color="auto" w:fill="407374"/>
            <w:vAlign w:val="center"/>
          </w:tcPr>
          <w:p w14:paraId="6FF396CF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D345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Code</w:t>
            </w:r>
          </w:p>
        </w:tc>
        <w:tc>
          <w:tcPr>
            <w:tcW w:w="4674" w:type="dxa"/>
            <w:shd w:val="clear" w:color="auto" w:fill="407374"/>
            <w:vAlign w:val="center"/>
          </w:tcPr>
          <w:p w14:paraId="6EED67C0" w14:textId="6BF4526C" w:rsidR="00C655FD" w:rsidRPr="004D3452" w:rsidRDefault="002F15AA" w:rsidP="003864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345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Definition</w:t>
            </w:r>
          </w:p>
        </w:tc>
      </w:tr>
      <w:tr w:rsidR="00C655FD" w:rsidRPr="004D3452" w14:paraId="768D2A06" w14:textId="77777777" w:rsidTr="001F688C">
        <w:trPr>
          <w:trHeight w:val="253"/>
          <w:jc w:val="center"/>
        </w:trPr>
        <w:tc>
          <w:tcPr>
            <w:tcW w:w="1984" w:type="dxa"/>
            <w:vMerge w:val="restart"/>
            <w:vAlign w:val="center"/>
          </w:tcPr>
          <w:p w14:paraId="61AE222A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Psychological Capability</w:t>
            </w:r>
          </w:p>
        </w:tc>
        <w:tc>
          <w:tcPr>
            <w:tcW w:w="2268" w:type="dxa"/>
            <w:vMerge w:val="restart"/>
            <w:vAlign w:val="center"/>
          </w:tcPr>
          <w:p w14:paraId="706189A9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1848" w:type="dxa"/>
            <w:vMerge w:val="restart"/>
            <w:vAlign w:val="center"/>
          </w:tcPr>
          <w:p w14:paraId="68EB0184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Professionals’ knowledge</w:t>
            </w:r>
          </w:p>
        </w:tc>
        <w:tc>
          <w:tcPr>
            <w:tcW w:w="2688" w:type="dxa"/>
            <w:vMerge w:val="restart"/>
            <w:vAlign w:val="center"/>
          </w:tcPr>
          <w:p w14:paraId="1AA61F2A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  <w:color w:val="000000"/>
                <w:highlight w:val="white"/>
              </w:rPr>
              <w:t>Clinicians’ awareness/familiarity of/with rare syndromes</w:t>
            </w:r>
          </w:p>
        </w:tc>
        <w:tc>
          <w:tcPr>
            <w:tcW w:w="4674" w:type="dxa"/>
            <w:vMerge w:val="restart"/>
            <w:vAlign w:val="center"/>
          </w:tcPr>
          <w:p w14:paraId="72064B8C" w14:textId="7A3B2EEF" w:rsidR="00C655FD" w:rsidRPr="004D3452" w:rsidRDefault="009A3034" w:rsidP="00386416">
            <w:pPr>
              <w:pStyle w:val="ds-markdown-paragraph"/>
              <w:spacing w:before="0" w:beforeAutospacing="0" w:after="0" w:afterAutospacing="0"/>
              <w:rPr>
                <w:color w:val="0F1115"/>
                <w:sz w:val="22"/>
                <w:szCs w:val="22"/>
              </w:rPr>
            </w:pPr>
            <w:r w:rsidRPr="004D3452">
              <w:rPr>
                <w:color w:val="0F1115"/>
                <w:sz w:val="22"/>
                <w:szCs w:val="22"/>
              </w:rPr>
              <w:t>Clinical teams’ familiarity with rare syndromes and their diagnostic criteria.</w:t>
            </w:r>
          </w:p>
        </w:tc>
      </w:tr>
      <w:tr w:rsidR="00C655FD" w:rsidRPr="004D3452" w14:paraId="54C92D07" w14:textId="77777777" w:rsidTr="001F688C">
        <w:trPr>
          <w:trHeight w:val="1119"/>
          <w:jc w:val="center"/>
        </w:trPr>
        <w:tc>
          <w:tcPr>
            <w:tcW w:w="1984" w:type="dxa"/>
            <w:vMerge/>
            <w:vAlign w:val="center"/>
          </w:tcPr>
          <w:p w14:paraId="2092253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1AB4EC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3FA1C4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D1BD6E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00FAF6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6143123" w14:textId="77777777" w:rsidTr="001F688C">
        <w:trPr>
          <w:trHeight w:val="253"/>
          <w:jc w:val="center"/>
        </w:trPr>
        <w:tc>
          <w:tcPr>
            <w:tcW w:w="1984" w:type="dxa"/>
            <w:vMerge/>
            <w:vAlign w:val="center"/>
          </w:tcPr>
          <w:p w14:paraId="44D1563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DE61CD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FECD37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B79965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28A135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106018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FAE11A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3E95E1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ACB410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228B0EAD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  <w:color w:val="000000"/>
                <w:highlight w:val="white"/>
              </w:rPr>
              <w:t>Challenges of rare disease diagnosis</w:t>
            </w:r>
          </w:p>
        </w:tc>
        <w:tc>
          <w:tcPr>
            <w:tcW w:w="4674" w:type="dxa"/>
            <w:vMerge w:val="restart"/>
            <w:vAlign w:val="center"/>
          </w:tcPr>
          <w:p w14:paraId="4BBEC7DB" w14:textId="04640B29" w:rsidR="00C655FD" w:rsidRPr="004D3452" w:rsidRDefault="00C655FD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Challenges in establishing definitive diagnoses for rare syndromes.</w:t>
            </w:r>
          </w:p>
        </w:tc>
      </w:tr>
      <w:tr w:rsidR="00C655FD" w:rsidRPr="004D3452" w14:paraId="02508677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E76C57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D81F2B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D4A49A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5F945D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6F93AC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B25B50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643301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A999AC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1D4D29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CA09B9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87DBF6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D1C1C8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09FA89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814504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E59557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6430989C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  <w:color w:val="000000"/>
                <w:highlight w:val="white"/>
              </w:rPr>
              <w:t>Guidelines availability</w:t>
            </w:r>
          </w:p>
        </w:tc>
        <w:tc>
          <w:tcPr>
            <w:tcW w:w="4674" w:type="dxa"/>
            <w:vMerge w:val="restart"/>
            <w:vAlign w:val="center"/>
          </w:tcPr>
          <w:p w14:paraId="375B8578" w14:textId="56EF42F3" w:rsidR="00C655FD" w:rsidRPr="004D3452" w:rsidRDefault="009A3034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A</w:t>
            </w:r>
            <w:r w:rsidR="00C655FD"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vailability of guidelines and clinical protocols for managing rare syndromes.</w:t>
            </w:r>
          </w:p>
        </w:tc>
      </w:tr>
      <w:tr w:rsidR="00C655FD" w:rsidRPr="004D3452" w14:paraId="07C4E4B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A7FD31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4D1137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3E4590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A374B9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65C8E1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75C5402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7866BA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ADD1AE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F5E921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A18868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9EEC08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EDA68A7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C0F923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C69186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6D9174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515E0688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  <w:color w:val="000000"/>
                <w:highlight w:val="white"/>
              </w:rPr>
              <w:t>Clinicians (lack of) Knowledge</w:t>
            </w:r>
          </w:p>
        </w:tc>
        <w:tc>
          <w:tcPr>
            <w:tcW w:w="4674" w:type="dxa"/>
            <w:vMerge w:val="restart"/>
            <w:vAlign w:val="center"/>
          </w:tcPr>
          <w:p w14:paraId="6182B484" w14:textId="4DB60445" w:rsidR="009A3034" w:rsidRPr="004D3452" w:rsidRDefault="009A3034" w:rsidP="00386416">
            <w:pPr>
              <w:pStyle w:val="ds-markdown-paragraph"/>
              <w:spacing w:before="0" w:beforeAutospacing="0" w:after="0" w:afterAutospacing="0"/>
              <w:rPr>
                <w:color w:val="0F1115"/>
                <w:sz w:val="22"/>
                <w:szCs w:val="22"/>
              </w:rPr>
            </w:pPr>
            <w:r w:rsidRPr="004D3452">
              <w:rPr>
                <w:color w:val="0F1115"/>
                <w:sz w:val="22"/>
                <w:szCs w:val="22"/>
              </w:rPr>
              <w:t>Clinical teams’ knowledge and understanding of rare syndromes.</w:t>
            </w:r>
          </w:p>
          <w:p w14:paraId="1F2D7B28" w14:textId="3CD8BACA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C655FD" w:rsidRPr="004D3452" w14:paraId="3646B132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BED8E3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375624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948A55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2FB1EF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6DFE45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46775C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108A6B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3F1060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0825B2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3EF714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3D9C50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843BDC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01E38E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2798EB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C65076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2AD9DD1A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  <w:color w:val="000000"/>
                <w:highlight w:val="white"/>
              </w:rPr>
              <w:t>Differences in knowledge across regions/institutions</w:t>
            </w:r>
          </w:p>
        </w:tc>
        <w:tc>
          <w:tcPr>
            <w:tcW w:w="4674" w:type="dxa"/>
            <w:vMerge w:val="restart"/>
            <w:vAlign w:val="center"/>
          </w:tcPr>
          <w:p w14:paraId="1D046ACD" w14:textId="77777777" w:rsidR="009A3034" w:rsidRPr="004D3452" w:rsidRDefault="009A3034" w:rsidP="00386416">
            <w:pPr>
              <w:pStyle w:val="ds-markdown-paragraph"/>
              <w:spacing w:before="0" w:beforeAutospacing="0" w:after="0" w:afterAutospacing="0"/>
              <w:rPr>
                <w:color w:val="0F1115"/>
                <w:sz w:val="22"/>
                <w:szCs w:val="22"/>
              </w:rPr>
            </w:pPr>
            <w:r w:rsidRPr="004D3452">
              <w:rPr>
                <w:color w:val="0F1115"/>
                <w:sz w:val="22"/>
                <w:szCs w:val="22"/>
              </w:rPr>
              <w:t>Regional and site-specific variations in expertise and resources for managing rare syndromes.</w:t>
            </w:r>
          </w:p>
          <w:p w14:paraId="0303EA64" w14:textId="16001A7A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C655FD" w:rsidRPr="004D3452" w14:paraId="22C7245C" w14:textId="77777777" w:rsidTr="001F688C">
        <w:trPr>
          <w:trHeight w:val="713"/>
          <w:jc w:val="center"/>
        </w:trPr>
        <w:tc>
          <w:tcPr>
            <w:tcW w:w="1984" w:type="dxa"/>
            <w:vMerge/>
            <w:vAlign w:val="center"/>
          </w:tcPr>
          <w:p w14:paraId="69D4E8D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7F4832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A573D5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FD9F15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70CD7F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648187D" w14:textId="77777777" w:rsidTr="001F688C">
        <w:trPr>
          <w:trHeight w:val="253"/>
          <w:jc w:val="center"/>
        </w:trPr>
        <w:tc>
          <w:tcPr>
            <w:tcW w:w="1984" w:type="dxa"/>
            <w:vMerge/>
            <w:vAlign w:val="center"/>
          </w:tcPr>
          <w:p w14:paraId="4CCAA54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533760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244A1B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DFCF73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CA5F8D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B662EB9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6E038B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2ECC55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405C1E15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Provide knowledge to patients</w:t>
            </w:r>
          </w:p>
        </w:tc>
        <w:tc>
          <w:tcPr>
            <w:tcW w:w="2688" w:type="dxa"/>
            <w:vMerge w:val="restart"/>
            <w:vAlign w:val="center"/>
          </w:tcPr>
          <w:p w14:paraId="3C619CD8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3452">
              <w:rPr>
                <w:rFonts w:ascii="Times New Roman" w:hAnsi="Times New Roman" w:cs="Times New Roman"/>
                <w:color w:val="000000"/>
              </w:rPr>
              <w:t>Risk education</w:t>
            </w:r>
          </w:p>
          <w:p w14:paraId="07CADCE5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 w:val="restart"/>
            <w:vAlign w:val="center"/>
          </w:tcPr>
          <w:p w14:paraId="7B86A891" w14:textId="77777777" w:rsidR="009A3034" w:rsidRPr="004D3452" w:rsidRDefault="009A3034" w:rsidP="00386416">
            <w:pPr>
              <w:pStyle w:val="ds-markdown-paragraph"/>
              <w:spacing w:before="0" w:beforeAutospacing="0" w:after="0" w:afterAutospacing="0"/>
              <w:rPr>
                <w:color w:val="0F1115"/>
                <w:sz w:val="22"/>
                <w:szCs w:val="22"/>
              </w:rPr>
            </w:pPr>
            <w:r w:rsidRPr="004D3452">
              <w:rPr>
                <w:color w:val="0F1115"/>
                <w:sz w:val="22"/>
                <w:szCs w:val="22"/>
              </w:rPr>
              <w:t>Process of explaining risks and providing knowledge to patients for informed evaluation.</w:t>
            </w:r>
          </w:p>
          <w:p w14:paraId="0C88E92E" w14:textId="02330D02" w:rsidR="00C655FD" w:rsidRPr="004D3452" w:rsidRDefault="00C655FD" w:rsidP="0038641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</w:tr>
      <w:tr w:rsidR="00C655FD" w:rsidRPr="004D3452" w14:paraId="1071FB7F" w14:textId="77777777" w:rsidTr="001F688C">
        <w:trPr>
          <w:trHeight w:val="641"/>
          <w:jc w:val="center"/>
        </w:trPr>
        <w:tc>
          <w:tcPr>
            <w:tcW w:w="1984" w:type="dxa"/>
            <w:vMerge/>
            <w:vAlign w:val="center"/>
          </w:tcPr>
          <w:p w14:paraId="1A1B651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80132B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104564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E6E9E9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4C5B9B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E17E5D7" w14:textId="77777777" w:rsidTr="001F688C">
        <w:trPr>
          <w:trHeight w:val="253"/>
          <w:jc w:val="center"/>
        </w:trPr>
        <w:tc>
          <w:tcPr>
            <w:tcW w:w="1984" w:type="dxa"/>
            <w:vMerge/>
            <w:vAlign w:val="center"/>
          </w:tcPr>
          <w:p w14:paraId="7FC9E71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FB340C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AC93A5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4D09F1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273C34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41E976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5D961E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F8D3A2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7FD9BB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274BFE12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  <w:color w:val="000000"/>
                <w:highlight w:val="white"/>
              </w:rPr>
              <w:t>Individuals' health literacy</w:t>
            </w:r>
          </w:p>
        </w:tc>
        <w:tc>
          <w:tcPr>
            <w:tcW w:w="4674" w:type="dxa"/>
            <w:vMerge w:val="restart"/>
            <w:vAlign w:val="center"/>
          </w:tcPr>
          <w:p w14:paraId="295EC7AA" w14:textId="3E259DA8" w:rsidR="00775061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  <w:shd w:val="clear" w:color="auto" w:fill="FFFFFF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Understanding of health (literacy) of RTRS.</w:t>
            </w:r>
          </w:p>
        </w:tc>
      </w:tr>
      <w:tr w:rsidR="00C655FD" w:rsidRPr="004D3452" w14:paraId="4D64A64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4A331A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3B5528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E2AC91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A72952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8D20DB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B70DFC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94CD81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40B282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B10175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35B4C4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08A0F1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E8B078A" w14:textId="77777777" w:rsidTr="001F688C">
        <w:trPr>
          <w:trHeight w:val="510"/>
          <w:jc w:val="center"/>
        </w:trPr>
        <w:tc>
          <w:tcPr>
            <w:tcW w:w="1984" w:type="dxa"/>
            <w:vMerge/>
            <w:vAlign w:val="center"/>
          </w:tcPr>
          <w:p w14:paraId="5444F47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4641F2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00CCAE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45D1CE2C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  <w:color w:val="000000"/>
                <w:highlight w:val="white"/>
              </w:rPr>
              <w:t>Clinicians' approach to information delivery</w:t>
            </w:r>
          </w:p>
        </w:tc>
        <w:tc>
          <w:tcPr>
            <w:tcW w:w="4674" w:type="dxa"/>
            <w:vMerge w:val="restart"/>
            <w:vAlign w:val="center"/>
          </w:tcPr>
          <w:p w14:paraId="526FA12B" w14:textId="77777777" w:rsidR="009A3034" w:rsidRPr="004D3452" w:rsidRDefault="009A3034" w:rsidP="00386416">
            <w:pPr>
              <w:pStyle w:val="ds-markdown-paragraph"/>
              <w:spacing w:before="0" w:beforeAutospacing="0" w:after="0" w:afterAutospacing="0"/>
              <w:rPr>
                <w:color w:val="0F1115"/>
                <w:sz w:val="22"/>
                <w:szCs w:val="22"/>
              </w:rPr>
            </w:pPr>
            <w:r w:rsidRPr="004D3452">
              <w:rPr>
                <w:color w:val="0F1115"/>
                <w:sz w:val="22"/>
                <w:szCs w:val="22"/>
              </w:rPr>
              <w:t>Methods and strategies used by clinicians to deliver health-related information to patients.</w:t>
            </w:r>
          </w:p>
          <w:p w14:paraId="1CDF534A" w14:textId="3001DC5D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C655FD" w:rsidRPr="004D3452" w14:paraId="3395D827" w14:textId="77777777" w:rsidTr="001F688C">
        <w:trPr>
          <w:trHeight w:val="712"/>
          <w:jc w:val="center"/>
        </w:trPr>
        <w:tc>
          <w:tcPr>
            <w:tcW w:w="1984" w:type="dxa"/>
            <w:vMerge/>
            <w:vAlign w:val="center"/>
          </w:tcPr>
          <w:p w14:paraId="76AD01C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62B69B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A848E7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A5B43E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A48BD5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4C8B50E" w14:textId="77777777" w:rsidTr="001F688C">
        <w:trPr>
          <w:trHeight w:val="253"/>
          <w:jc w:val="center"/>
        </w:trPr>
        <w:tc>
          <w:tcPr>
            <w:tcW w:w="1984" w:type="dxa"/>
            <w:vMerge/>
            <w:vAlign w:val="center"/>
          </w:tcPr>
          <w:p w14:paraId="1692269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FDE265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871FB7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7C9346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CEB953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D0C6E8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2D68B8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1ED49F6" w14:textId="77777777" w:rsidR="00C655FD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Memory, attention and decision processes</w:t>
            </w:r>
          </w:p>
          <w:p w14:paraId="2BB4027A" w14:textId="77777777" w:rsidR="00E6302E" w:rsidRPr="004D3452" w:rsidRDefault="00E6302E" w:rsidP="004D3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shd w:val="clear" w:color="auto" w:fill="FFFFFF"/>
            <w:vAlign w:val="center"/>
          </w:tcPr>
          <w:p w14:paraId="33CFD7F7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Decision making</w:t>
            </w:r>
          </w:p>
          <w:p w14:paraId="479CE9CF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69C28430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Clinicians’ decision-making</w:t>
            </w:r>
          </w:p>
        </w:tc>
        <w:tc>
          <w:tcPr>
            <w:tcW w:w="4674" w:type="dxa"/>
            <w:vMerge w:val="restart"/>
            <w:vAlign w:val="center"/>
          </w:tcPr>
          <w:p w14:paraId="06B6F633" w14:textId="2B789E26" w:rsidR="009A3034" w:rsidRPr="004D3452" w:rsidRDefault="009A3034" w:rsidP="00386416">
            <w:pPr>
              <w:pStyle w:val="ds-markdown-paragraph"/>
              <w:spacing w:before="0" w:beforeAutospacing="0" w:after="0" w:afterAutospacing="0"/>
              <w:rPr>
                <w:color w:val="0F1115"/>
                <w:sz w:val="22"/>
                <w:szCs w:val="22"/>
              </w:rPr>
            </w:pPr>
            <w:r w:rsidRPr="004D3452">
              <w:rPr>
                <w:color w:val="0F1115"/>
                <w:sz w:val="22"/>
                <w:szCs w:val="22"/>
              </w:rPr>
              <w:t>The clinical teams’ decision-making process.</w:t>
            </w:r>
          </w:p>
          <w:p w14:paraId="6656050B" w14:textId="4B90A280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C655FD" w:rsidRPr="004D3452" w14:paraId="5EFEEA2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0F8403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EC3CF9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7900101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2758D8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2C3722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5A13DB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46AC06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E63F32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1B7400C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C4F85F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1D28E1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9792C1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5C9E5B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D7E222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0AF0098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35A97893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Family history</w:t>
            </w:r>
          </w:p>
        </w:tc>
        <w:tc>
          <w:tcPr>
            <w:tcW w:w="4674" w:type="dxa"/>
            <w:vMerge w:val="restart"/>
            <w:vAlign w:val="center"/>
          </w:tcPr>
          <w:p w14:paraId="418369A8" w14:textId="0777F625" w:rsidR="00C655FD" w:rsidRPr="004D3452" w:rsidRDefault="00276AB7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</w:t>
            </w:r>
            <w:r w:rsidR="00C655FD"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nfluence of family history on professionals’ decisions, referral and recommendations.</w:t>
            </w:r>
          </w:p>
        </w:tc>
      </w:tr>
      <w:tr w:rsidR="00C655FD" w:rsidRPr="004D3452" w14:paraId="4AAD2B60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89D7B4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C8FDFA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36833F9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42A5EF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888FF0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6C130F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065EEA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1820C7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4523D0F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A14A15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47E925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9D9238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C7FEB9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27CD4D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29FF358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3EB5063C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Previous experience</w:t>
            </w:r>
          </w:p>
        </w:tc>
        <w:tc>
          <w:tcPr>
            <w:tcW w:w="4674" w:type="dxa"/>
            <w:vMerge w:val="restart"/>
            <w:vAlign w:val="center"/>
          </w:tcPr>
          <w:p w14:paraId="41BCFA3F" w14:textId="02951144" w:rsidR="00C655FD" w:rsidRPr="004D3452" w:rsidRDefault="00276AB7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K</w:t>
            </w:r>
            <w:r w:rsidR="00C655FD"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nowledge gained through</w:t>
            </w:r>
            <w:r w:rsidR="009A3034"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 xml:space="preserve"> previous</w:t>
            </w:r>
            <w:r w:rsidR="00C655FD"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 xml:space="preserve"> clinical practice.</w:t>
            </w:r>
          </w:p>
        </w:tc>
      </w:tr>
      <w:tr w:rsidR="00C655FD" w:rsidRPr="004D3452" w14:paraId="6E60447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A35717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F4F10F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374A9DB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490272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939EDA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F9801A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E2F66A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B82751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56D25AB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EEE8E8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0DE6A1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2BA344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583C6E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B722E2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0661B51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6D6DC152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Patient decision</w:t>
            </w:r>
          </w:p>
        </w:tc>
        <w:tc>
          <w:tcPr>
            <w:tcW w:w="4674" w:type="dxa"/>
            <w:vMerge w:val="restart"/>
            <w:vAlign w:val="center"/>
          </w:tcPr>
          <w:p w14:paraId="269E51F0" w14:textId="1964C932" w:rsidR="00C655FD" w:rsidRPr="004D3452" w:rsidRDefault="00276AB7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</w:t>
            </w:r>
            <w:r w:rsidR="00C655FD"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ituations where clinicians indicate that the final decision should be made by the patient.</w:t>
            </w:r>
          </w:p>
        </w:tc>
      </w:tr>
      <w:tr w:rsidR="00C655FD" w:rsidRPr="004D3452" w14:paraId="2F8232D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C74B50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451A59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4B4A2F6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808657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5288BA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E0F4CA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0E59D0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3C6DCF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2F185A2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4487E3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C1DCB5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5D07273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BFD9B5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B3CE9D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4AE3AE6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1BA68255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Patient context</w:t>
            </w:r>
          </w:p>
        </w:tc>
        <w:tc>
          <w:tcPr>
            <w:tcW w:w="4674" w:type="dxa"/>
            <w:vMerge w:val="restart"/>
            <w:vAlign w:val="center"/>
          </w:tcPr>
          <w:p w14:paraId="5DE2B358" w14:textId="19450E37" w:rsidR="00C655FD" w:rsidRPr="004D3452" w:rsidRDefault="009A3034" w:rsidP="00386416">
            <w:pPr>
              <w:pStyle w:val="ds-markdown-paragraph"/>
              <w:spacing w:before="0" w:beforeAutospacing="0" w:after="0" w:afterAutospacing="0"/>
              <w:rPr>
                <w:color w:val="0F1115"/>
                <w:sz w:val="22"/>
                <w:szCs w:val="22"/>
              </w:rPr>
            </w:pPr>
            <w:r w:rsidRPr="004D3452">
              <w:rPr>
                <w:color w:val="0F1115"/>
                <w:sz w:val="22"/>
                <w:szCs w:val="22"/>
              </w:rPr>
              <w:t>Clinicians' incorporation of patients' life circumstances and context into clinical decisions.</w:t>
            </w:r>
          </w:p>
        </w:tc>
      </w:tr>
      <w:tr w:rsidR="00C655FD" w:rsidRPr="004D3452" w14:paraId="5E39B488" w14:textId="77777777" w:rsidTr="001F688C">
        <w:trPr>
          <w:trHeight w:val="691"/>
          <w:jc w:val="center"/>
        </w:trPr>
        <w:tc>
          <w:tcPr>
            <w:tcW w:w="1984" w:type="dxa"/>
            <w:vMerge/>
            <w:vAlign w:val="center"/>
          </w:tcPr>
          <w:p w14:paraId="7678203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9783FB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1530F44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217DC1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8638D8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A2996E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6CFB79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9C33B8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61CF86C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17361B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279150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50A17D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88FB7A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C86167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F18393C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Team expertise</w:t>
            </w:r>
          </w:p>
          <w:p w14:paraId="7F586525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7D2D3F0A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4BD8538D" w14:textId="29D13EB6" w:rsidR="00C655FD" w:rsidRPr="004D3452" w:rsidRDefault="004C345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 xml:space="preserve">Shared knowledge and skills within a team that </w:t>
            </w:r>
            <w:r w:rsidR="009A3034" w:rsidRPr="004D3452">
              <w:rPr>
                <w:rFonts w:cs="Times New Roman"/>
                <w:color w:val="0F1115"/>
                <w:sz w:val="22"/>
                <w:shd w:val="clear" w:color="auto" w:fill="FFFFFF"/>
              </w:rPr>
              <w:t>support sound decision-making and effective care.</w:t>
            </w:r>
          </w:p>
        </w:tc>
      </w:tr>
      <w:tr w:rsidR="00C655FD" w:rsidRPr="004D3452" w14:paraId="34C746C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F42A31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A76DA4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CA1CA5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5DC239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94DB28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F2D2767" w14:textId="77777777" w:rsidTr="001F688C">
        <w:trPr>
          <w:trHeight w:val="368"/>
          <w:jc w:val="center"/>
        </w:trPr>
        <w:tc>
          <w:tcPr>
            <w:tcW w:w="1984" w:type="dxa"/>
            <w:vMerge/>
            <w:vAlign w:val="center"/>
          </w:tcPr>
          <w:p w14:paraId="5BF40B4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C607BD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C7C3FB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5A57AC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86393E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A88192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24DA69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7FD82D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48711B5" w14:textId="77777777" w:rsidR="003E23AF" w:rsidRDefault="003E23AF" w:rsidP="004D3452">
            <w:pPr>
              <w:jc w:val="center"/>
              <w:rPr>
                <w:rFonts w:ascii="Times New Roman" w:hAnsi="Times New Roman" w:cs="Times New Roman"/>
              </w:rPr>
            </w:pPr>
          </w:p>
          <w:p w14:paraId="0A4B5DAC" w14:textId="123023AD" w:rsidR="00690C54" w:rsidRDefault="00C655FD" w:rsidP="003E23AF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lastRenderedPageBreak/>
              <w:t>Multidisciplinary discussion + experts</w:t>
            </w:r>
          </w:p>
          <w:p w14:paraId="4D12E537" w14:textId="77777777" w:rsidR="00690C54" w:rsidRDefault="00690C54" w:rsidP="008465FD">
            <w:pPr>
              <w:rPr>
                <w:rFonts w:ascii="Times New Roman" w:hAnsi="Times New Roman" w:cs="Times New Roman"/>
              </w:rPr>
            </w:pPr>
          </w:p>
          <w:p w14:paraId="53906518" w14:textId="77777777" w:rsidR="00690C54" w:rsidRPr="004D3452" w:rsidRDefault="00690C54" w:rsidP="004D3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658319F7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7188072C" w14:textId="5E04A249" w:rsidR="00C655FD" w:rsidRPr="004D3452" w:rsidRDefault="004C345F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hAnsi="Times New Roman" w:cs="Times New Roman"/>
                <w:color w:val="000000"/>
              </w:rPr>
              <w:t xml:space="preserve">Collaborative exchanges among professionals from different specialties and expert domains to </w:t>
            </w:r>
            <w:r w:rsidRPr="004D3452">
              <w:rPr>
                <w:rFonts w:ascii="Times New Roman" w:hAnsi="Times New Roman" w:cs="Times New Roman"/>
                <w:color w:val="000000"/>
              </w:rPr>
              <w:lastRenderedPageBreak/>
              <w:t>support decision-making in complex or uncertain cases.</w:t>
            </w:r>
          </w:p>
        </w:tc>
      </w:tr>
      <w:tr w:rsidR="00C655FD" w:rsidRPr="004D3452" w14:paraId="332F262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2398B8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4AA101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B37DA4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8BCEDA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2F59A5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51222E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2D71CC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178C9A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1DBE13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B5B7F2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02ACD4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BB59C40" w14:textId="77777777" w:rsidTr="00690C54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3D24A1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4E8C49A" w14:textId="66AADD92" w:rsidR="00C655FD" w:rsidRPr="004D3452" w:rsidRDefault="00C655FD" w:rsidP="00690C54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Skills</w:t>
            </w:r>
          </w:p>
        </w:tc>
        <w:tc>
          <w:tcPr>
            <w:tcW w:w="1848" w:type="dxa"/>
            <w:vMerge w:val="restart"/>
            <w:vAlign w:val="center"/>
          </w:tcPr>
          <w:p w14:paraId="60CB0A08" w14:textId="778837F2" w:rsidR="004D3452" w:rsidRPr="004D3452" w:rsidRDefault="00C655FD" w:rsidP="00FE5F6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Skills’ development</w:t>
            </w:r>
          </w:p>
        </w:tc>
        <w:tc>
          <w:tcPr>
            <w:tcW w:w="2688" w:type="dxa"/>
            <w:vMerge w:val="restart"/>
            <w:vAlign w:val="center"/>
          </w:tcPr>
          <w:p w14:paraId="684CB6AF" w14:textId="211F26F7" w:rsidR="00FE5F66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62095959" w14:textId="4DFF47DB" w:rsidR="004D3452" w:rsidRPr="004D3452" w:rsidRDefault="00276AB7" w:rsidP="00386416">
            <w:pPr>
              <w:pStyle w:val="NormalWeb"/>
              <w:spacing w:before="0" w:beforeAutospacing="0" w:after="0" w:afterAutospacing="0"/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</w:pPr>
            <w:r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I</w:t>
            </w:r>
            <w:r w:rsidR="00C655FD"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mprovement of clinical skills through training, education or practice.</w:t>
            </w:r>
          </w:p>
        </w:tc>
      </w:tr>
      <w:tr w:rsidR="00C655FD" w:rsidRPr="004D3452" w14:paraId="3196D8FD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13812D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F36FEB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BD7B3E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D1DD94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D250E0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FDA3191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30F243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6ED6F0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DC954F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FCD1DA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AF8A4E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1EB4F65" w14:textId="77777777" w:rsidTr="001F688C">
        <w:trPr>
          <w:trHeight w:val="397"/>
          <w:jc w:val="center"/>
        </w:trPr>
        <w:tc>
          <w:tcPr>
            <w:tcW w:w="1984" w:type="dxa"/>
            <w:vMerge/>
            <w:vAlign w:val="center"/>
          </w:tcPr>
          <w:p w14:paraId="60AC5BD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F4B607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19C021D4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(Lack of) Ability</w:t>
            </w:r>
          </w:p>
        </w:tc>
        <w:tc>
          <w:tcPr>
            <w:tcW w:w="2688" w:type="dxa"/>
            <w:vMerge w:val="restart"/>
            <w:vAlign w:val="center"/>
          </w:tcPr>
          <w:p w14:paraId="7ADE73C4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430C176B" w14:textId="23DE5CDB" w:rsidR="00C655FD" w:rsidRPr="004D3452" w:rsidRDefault="00276AB7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C</w:t>
            </w:r>
            <w:r w:rsidR="00C655FD"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ompetence and capacity to recognise and respond to clinical situations.</w:t>
            </w:r>
          </w:p>
        </w:tc>
      </w:tr>
      <w:tr w:rsidR="00C655FD" w:rsidRPr="004D3452" w14:paraId="4FEB63A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B51A24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5CAFCF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757901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53F553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9B5D64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2921D5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45BA88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B5E3F1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9A6C6E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E2916D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95EBD5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2E511B0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A7BE2E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DBB909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0FA74D00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Communication</w:t>
            </w:r>
          </w:p>
        </w:tc>
        <w:tc>
          <w:tcPr>
            <w:tcW w:w="2688" w:type="dxa"/>
            <w:vMerge w:val="restart"/>
            <w:vAlign w:val="center"/>
          </w:tcPr>
          <w:p w14:paraId="20419F71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Communication challenges</w:t>
            </w:r>
          </w:p>
        </w:tc>
        <w:tc>
          <w:tcPr>
            <w:tcW w:w="4674" w:type="dxa"/>
            <w:vMerge w:val="restart"/>
            <w:vAlign w:val="center"/>
          </w:tcPr>
          <w:p w14:paraId="108E6C80" w14:textId="7969891F" w:rsidR="00C655FD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Challenges in communicating with patients to ensure clear and effective communication.</w:t>
            </w:r>
          </w:p>
        </w:tc>
      </w:tr>
      <w:tr w:rsidR="00C655FD" w:rsidRPr="004D3452" w14:paraId="4E27DC3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8E466B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D44D21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43CC03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9A7654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5E570D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288889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A376B6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B20A80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EDA412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602225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AEC9E7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8DF7562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AED9DC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8CB356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6CCCDB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29FBE342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Simplification of medical information</w:t>
            </w:r>
          </w:p>
        </w:tc>
        <w:tc>
          <w:tcPr>
            <w:tcW w:w="4674" w:type="dxa"/>
            <w:vMerge w:val="restart"/>
            <w:vAlign w:val="center"/>
          </w:tcPr>
          <w:p w14:paraId="3F4A1A4B" w14:textId="43E1AFA3" w:rsidR="00C655FD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Process of translating complex medical terminology and concepts into clear, straightforward language that is easily understandable.</w:t>
            </w:r>
          </w:p>
        </w:tc>
      </w:tr>
      <w:tr w:rsidR="00C655FD" w:rsidRPr="004D3452" w14:paraId="0725E2C7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FA6E4A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09FA3E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75FB3B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D7DD19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EDF49F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5A60FAA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3798F6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980766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04C436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8C1F65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4137AF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59A4055" w14:textId="77777777" w:rsidTr="001F688C">
        <w:trPr>
          <w:trHeight w:val="503"/>
          <w:jc w:val="center"/>
        </w:trPr>
        <w:tc>
          <w:tcPr>
            <w:tcW w:w="1984" w:type="dxa"/>
            <w:vMerge/>
            <w:vAlign w:val="center"/>
          </w:tcPr>
          <w:p w14:paraId="557D610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5FFA9B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C1E0A4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277DF062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Tailoring of communication</w:t>
            </w:r>
          </w:p>
        </w:tc>
        <w:tc>
          <w:tcPr>
            <w:tcW w:w="4674" w:type="dxa"/>
            <w:vMerge w:val="restart"/>
            <w:vAlign w:val="center"/>
          </w:tcPr>
          <w:p w14:paraId="257BB34C" w14:textId="32AD68E2" w:rsidR="00C655FD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Adjustment of the amount, detail, and style of information shared during clinical consultations to match each patient’s unique needs, desires, and characteristics.</w:t>
            </w:r>
          </w:p>
        </w:tc>
      </w:tr>
      <w:tr w:rsidR="00C655FD" w:rsidRPr="004D3452" w14:paraId="61CADF0E" w14:textId="77777777" w:rsidTr="001F688C">
        <w:trPr>
          <w:trHeight w:val="595"/>
          <w:jc w:val="center"/>
        </w:trPr>
        <w:tc>
          <w:tcPr>
            <w:tcW w:w="1984" w:type="dxa"/>
            <w:vMerge/>
            <w:vAlign w:val="center"/>
          </w:tcPr>
          <w:p w14:paraId="59A2A89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029722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10E2EB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822304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2A3679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E6718A8" w14:textId="77777777" w:rsidTr="001F688C">
        <w:trPr>
          <w:trHeight w:val="346"/>
          <w:jc w:val="center"/>
        </w:trPr>
        <w:tc>
          <w:tcPr>
            <w:tcW w:w="1984" w:type="dxa"/>
            <w:vMerge/>
            <w:vAlign w:val="center"/>
          </w:tcPr>
          <w:p w14:paraId="3EDC00F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91CE3C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45A6AE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BC33F0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C561B6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92B973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429F31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85FC88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D9D5AC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58AF8B48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Training on communication</w:t>
            </w:r>
          </w:p>
        </w:tc>
        <w:tc>
          <w:tcPr>
            <w:tcW w:w="4674" w:type="dxa"/>
            <w:vMerge w:val="restart"/>
            <w:vAlign w:val="center"/>
          </w:tcPr>
          <w:p w14:paraId="617F3BF2" w14:textId="33F304B8" w:rsidR="00C655FD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Clinicians' perceived need for developing skills in patient communication</w:t>
            </w:r>
            <w:r w:rsidR="00894D6B"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.</w:t>
            </w:r>
          </w:p>
        </w:tc>
      </w:tr>
      <w:tr w:rsidR="00C655FD" w:rsidRPr="004D3452" w14:paraId="0F0EACB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85607A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771761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6CC9FC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319A6E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A25969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D4F81C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104D98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21AAD5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479E35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314362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96D9DE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920BD5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E33A25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DE7A9A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B64B23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01164240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Active listening</w:t>
            </w:r>
          </w:p>
        </w:tc>
        <w:tc>
          <w:tcPr>
            <w:tcW w:w="4674" w:type="dxa"/>
            <w:vMerge w:val="restart"/>
            <w:vAlign w:val="center"/>
          </w:tcPr>
          <w:p w14:paraId="4DF8494C" w14:textId="60A390EA" w:rsidR="00C655FD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Attentive hearing of patients’ concerns and question</w:t>
            </w:r>
            <w:r w:rsidR="00F67490" w:rsidRPr="004D3452">
              <w:rPr>
                <w:rFonts w:cs="Times New Roman"/>
                <w:color w:val="000000" w:themeColor="text1"/>
                <w:sz w:val="22"/>
              </w:rPr>
              <w:t>s.</w:t>
            </w:r>
          </w:p>
        </w:tc>
      </w:tr>
      <w:tr w:rsidR="00C655FD" w:rsidRPr="004D3452" w14:paraId="19A3D18D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80D1BB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9ECCBD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C53DB5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8120D9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7A03F2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31E7E7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CAAD6E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1033D1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44BD87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CBC857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75997B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878532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3E617B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D28665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1EB5E3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0D8B3862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Guidance on care pathways</w:t>
            </w:r>
          </w:p>
        </w:tc>
        <w:tc>
          <w:tcPr>
            <w:tcW w:w="4674" w:type="dxa"/>
            <w:vMerge w:val="restart"/>
            <w:vAlign w:val="center"/>
          </w:tcPr>
          <w:p w14:paraId="30FEC27F" w14:textId="79B0D5E0" w:rsidR="00B146DA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Communication of information about next steps and care options</w:t>
            </w:r>
            <w:r w:rsidR="00276AB7" w:rsidRPr="004D3452">
              <w:rPr>
                <w:rFonts w:cs="Times New Roman"/>
                <w:color w:val="000000" w:themeColor="text1"/>
                <w:sz w:val="22"/>
              </w:rPr>
              <w:t>.</w:t>
            </w:r>
          </w:p>
        </w:tc>
      </w:tr>
      <w:tr w:rsidR="00C655FD" w:rsidRPr="004D3452" w14:paraId="42ECE1A3" w14:textId="77777777" w:rsidTr="001F688C">
        <w:trPr>
          <w:trHeight w:val="1128"/>
          <w:jc w:val="center"/>
        </w:trPr>
        <w:tc>
          <w:tcPr>
            <w:tcW w:w="1984" w:type="dxa"/>
            <w:vMerge/>
            <w:vAlign w:val="center"/>
          </w:tcPr>
          <w:p w14:paraId="7B1A26C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54D871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A435FA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5B8962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564466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F21955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499015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CD5E36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4822DC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123F89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C03F6D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36BB56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66AC80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989836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B82B07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4FB8283C" w14:textId="01BB5BF5" w:rsidR="00FE5F66" w:rsidRPr="004D3452" w:rsidRDefault="00B146DA" w:rsidP="00386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Empathy and emotional support</w:t>
            </w:r>
          </w:p>
        </w:tc>
        <w:tc>
          <w:tcPr>
            <w:tcW w:w="4674" w:type="dxa"/>
            <w:vMerge w:val="restart"/>
            <w:vAlign w:val="center"/>
          </w:tcPr>
          <w:p w14:paraId="66EC5452" w14:textId="55365497" w:rsidR="00C655FD" w:rsidRPr="004D3452" w:rsidRDefault="004A637C" w:rsidP="00386416">
            <w:pPr>
              <w:pStyle w:val="NormalWeb"/>
              <w:spacing w:before="120" w:beforeAutospacing="0" w:after="12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Communication that shows understanding and offers emotional reassurance to patients.</w:t>
            </w:r>
          </w:p>
        </w:tc>
      </w:tr>
      <w:tr w:rsidR="00C655FD" w:rsidRPr="004D3452" w14:paraId="63185363" w14:textId="77777777" w:rsidTr="001F688C">
        <w:trPr>
          <w:trHeight w:val="375"/>
          <w:jc w:val="center"/>
        </w:trPr>
        <w:tc>
          <w:tcPr>
            <w:tcW w:w="1984" w:type="dxa"/>
            <w:vMerge/>
            <w:vAlign w:val="center"/>
          </w:tcPr>
          <w:p w14:paraId="261B855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8D8232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6C9EF0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BE4BC0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10E77D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269B929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743E67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2ED337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0DCBDC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F68D80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433630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9828678" w14:textId="77777777" w:rsidTr="001F688C">
        <w:trPr>
          <w:trHeight w:val="680"/>
          <w:jc w:val="center"/>
        </w:trPr>
        <w:tc>
          <w:tcPr>
            <w:tcW w:w="1984" w:type="dxa"/>
            <w:vMerge/>
            <w:vAlign w:val="center"/>
          </w:tcPr>
          <w:p w14:paraId="6CF142A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E968B3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06847C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6B975691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System influences on communication</w:t>
            </w:r>
          </w:p>
        </w:tc>
        <w:tc>
          <w:tcPr>
            <w:tcW w:w="4674" w:type="dxa"/>
            <w:vMerge w:val="restart"/>
            <w:vAlign w:val="center"/>
          </w:tcPr>
          <w:p w14:paraId="27E0E373" w14:textId="69C3C63F" w:rsidR="00C655FD" w:rsidRPr="004D3452" w:rsidRDefault="004C345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Organisational processes that affect how patients receive and understand information</w:t>
            </w:r>
          </w:p>
        </w:tc>
      </w:tr>
      <w:tr w:rsidR="00C655FD" w:rsidRPr="004D3452" w14:paraId="254676F5" w14:textId="77777777" w:rsidTr="001F688C">
        <w:trPr>
          <w:trHeight w:val="566"/>
          <w:jc w:val="center"/>
        </w:trPr>
        <w:tc>
          <w:tcPr>
            <w:tcW w:w="1984" w:type="dxa"/>
            <w:vMerge/>
            <w:vAlign w:val="center"/>
          </w:tcPr>
          <w:p w14:paraId="1F6DA5A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C79AFE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35DBA0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DB7B16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B1EBD0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DB3F676" w14:textId="77777777" w:rsidTr="001F688C">
        <w:trPr>
          <w:trHeight w:val="253"/>
          <w:jc w:val="center"/>
        </w:trPr>
        <w:tc>
          <w:tcPr>
            <w:tcW w:w="1984" w:type="dxa"/>
            <w:vMerge/>
            <w:vAlign w:val="center"/>
          </w:tcPr>
          <w:p w14:paraId="1B4E5E7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889A27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32A766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F0D896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55D773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10E604B" w14:textId="77777777" w:rsidTr="001F688C">
        <w:trPr>
          <w:trHeight w:val="253"/>
          <w:jc w:val="center"/>
        </w:trPr>
        <w:tc>
          <w:tcPr>
            <w:tcW w:w="1984" w:type="dxa"/>
            <w:vMerge w:val="restart"/>
            <w:vAlign w:val="center"/>
          </w:tcPr>
          <w:p w14:paraId="7C02F983" w14:textId="5137161F" w:rsidR="00C655FD" w:rsidRPr="004D3452" w:rsidRDefault="00EA3FE0" w:rsidP="004D3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</w:t>
            </w:r>
            <w:r w:rsidR="00C655FD" w:rsidRPr="004D3452">
              <w:rPr>
                <w:rFonts w:ascii="Times New Roman" w:hAnsi="Times New Roman" w:cs="Times New Roman"/>
              </w:rPr>
              <w:t>ysical Opportunity</w:t>
            </w:r>
          </w:p>
        </w:tc>
        <w:tc>
          <w:tcPr>
            <w:tcW w:w="2268" w:type="dxa"/>
            <w:vMerge w:val="restart"/>
            <w:vAlign w:val="center"/>
          </w:tcPr>
          <w:p w14:paraId="192AFEF8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Environmental context and resources</w:t>
            </w:r>
          </w:p>
        </w:tc>
        <w:tc>
          <w:tcPr>
            <w:tcW w:w="1848" w:type="dxa"/>
            <w:vMerge w:val="restart"/>
            <w:vAlign w:val="center"/>
          </w:tcPr>
          <w:p w14:paraId="2184249F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Appointment logistics</w:t>
            </w:r>
          </w:p>
        </w:tc>
        <w:tc>
          <w:tcPr>
            <w:tcW w:w="2688" w:type="dxa"/>
            <w:vMerge w:val="restart"/>
            <w:vAlign w:val="center"/>
          </w:tcPr>
          <w:p w14:paraId="657DA7E6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209F0EFA" w14:textId="38682FA9" w:rsidR="00C655FD" w:rsidRPr="004D3452" w:rsidRDefault="00FA5374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Challenges related to organising and attending care appointments.</w:t>
            </w:r>
          </w:p>
        </w:tc>
      </w:tr>
      <w:tr w:rsidR="00C655FD" w:rsidRPr="004D3452" w14:paraId="2D8D919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F90DE0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3A3C3D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C9DA3A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69C9B4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0FEE46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A8C3390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B1855C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FA09FE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022E8C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64943A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3B464D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6BF654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FA2F76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9F9E6F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231E3C38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Waiting times</w:t>
            </w:r>
          </w:p>
        </w:tc>
        <w:tc>
          <w:tcPr>
            <w:tcW w:w="2688" w:type="dxa"/>
            <w:vMerge w:val="restart"/>
            <w:vAlign w:val="center"/>
          </w:tcPr>
          <w:p w14:paraId="59F8E372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3C3A619C" w14:textId="59D96833" w:rsidR="00C655FD" w:rsidRPr="004D3452" w:rsidRDefault="00276AB7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W</w:t>
            </w:r>
            <w:r w:rsidR="00C655FD"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aiting time to access any service.</w:t>
            </w:r>
          </w:p>
        </w:tc>
      </w:tr>
      <w:tr w:rsidR="00C655FD" w:rsidRPr="004D3452" w14:paraId="2BFCBE9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79E2DB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A4B964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0D1C7E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AEE26F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D5A4B0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69F7AE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A2823B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0EEBED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21BB05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B48037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4B8F51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A86105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F3AB9F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AFC646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3FA5E944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Workload</w:t>
            </w:r>
          </w:p>
        </w:tc>
        <w:tc>
          <w:tcPr>
            <w:tcW w:w="2688" w:type="dxa"/>
            <w:vMerge w:val="restart"/>
            <w:vAlign w:val="center"/>
          </w:tcPr>
          <w:p w14:paraId="5AF2A19B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292E9139" w14:textId="2B662DBD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High patient volumes and administrative demands that reduce time for thorough consultations or personalized care.</w:t>
            </w:r>
          </w:p>
        </w:tc>
      </w:tr>
      <w:tr w:rsidR="00C655FD" w:rsidRPr="004D3452" w14:paraId="0D9C7C73" w14:textId="77777777" w:rsidTr="001F688C">
        <w:trPr>
          <w:trHeight w:val="978"/>
          <w:jc w:val="center"/>
        </w:trPr>
        <w:tc>
          <w:tcPr>
            <w:tcW w:w="1984" w:type="dxa"/>
            <w:vMerge/>
            <w:vAlign w:val="center"/>
          </w:tcPr>
          <w:p w14:paraId="042DFB9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31A118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A1FF01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64A801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320D51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9F09D4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75F031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30790B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4473E6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C32D12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48EEB9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BC4310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ECF7BA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8C75FA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23AC728A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Economic/Financial costs</w:t>
            </w:r>
          </w:p>
        </w:tc>
        <w:tc>
          <w:tcPr>
            <w:tcW w:w="2688" w:type="dxa"/>
            <w:vMerge w:val="restart"/>
            <w:vAlign w:val="center"/>
          </w:tcPr>
          <w:p w14:paraId="29B2E3D0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For patients</w:t>
            </w:r>
          </w:p>
        </w:tc>
        <w:tc>
          <w:tcPr>
            <w:tcW w:w="4674" w:type="dxa"/>
            <w:vMerge w:val="restart"/>
            <w:vAlign w:val="center"/>
          </w:tcPr>
          <w:p w14:paraId="4EDA6792" w14:textId="348D5CA0" w:rsidR="00C655FD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Financial barriers for patients</w:t>
            </w:r>
          </w:p>
        </w:tc>
      </w:tr>
      <w:tr w:rsidR="00C655FD" w:rsidRPr="004D3452" w14:paraId="6DBA623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09A472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9A8093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E776F3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6F21C5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137335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A54238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2575D6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CA72EE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4BE4E4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3CC9EE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BF9D45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A998E7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8E42A5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43A2BB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6AB138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0C18B694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To services</w:t>
            </w:r>
          </w:p>
        </w:tc>
        <w:tc>
          <w:tcPr>
            <w:tcW w:w="4674" w:type="dxa"/>
            <w:vMerge w:val="restart"/>
            <w:vAlign w:val="center"/>
          </w:tcPr>
          <w:p w14:paraId="2B20F667" w14:textId="76EBE245" w:rsidR="00C655FD" w:rsidRPr="004D3452" w:rsidRDefault="004A637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Financial barrier to services</w:t>
            </w:r>
          </w:p>
        </w:tc>
      </w:tr>
      <w:tr w:rsidR="00C655FD" w:rsidRPr="004D3452" w14:paraId="062F8A92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FFAEB7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827AFE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5935CC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15AF27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913C31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9B5599D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8E3AE4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1A185D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C98CE8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D3875D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A0EED5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8DD620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D3B988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25656B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210E2DA4" w14:textId="77777777" w:rsidR="003E23AF" w:rsidRDefault="003E23AF" w:rsidP="004D3452">
            <w:pPr>
              <w:jc w:val="center"/>
              <w:rPr>
                <w:rFonts w:ascii="Times New Roman" w:hAnsi="Times New Roman" w:cs="Times New Roman"/>
              </w:rPr>
            </w:pPr>
          </w:p>
          <w:p w14:paraId="3DF8B95E" w14:textId="77777777" w:rsidR="009C1A69" w:rsidRDefault="009C1A69" w:rsidP="004D3452">
            <w:pPr>
              <w:jc w:val="center"/>
              <w:rPr>
                <w:rFonts w:ascii="Times New Roman" w:hAnsi="Times New Roman" w:cs="Times New Roman"/>
              </w:rPr>
            </w:pPr>
          </w:p>
          <w:p w14:paraId="7E390DDC" w14:textId="77777777" w:rsidR="00C655FD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Human resources</w:t>
            </w:r>
          </w:p>
          <w:p w14:paraId="7D366DF8" w14:textId="77777777" w:rsidR="003E23AF" w:rsidRDefault="003E23AF" w:rsidP="009C1A69">
            <w:pPr>
              <w:rPr>
                <w:rFonts w:ascii="Times New Roman" w:hAnsi="Times New Roman" w:cs="Times New Roman"/>
              </w:rPr>
            </w:pPr>
          </w:p>
          <w:p w14:paraId="254A949C" w14:textId="5BD54D95" w:rsidR="003E23AF" w:rsidRPr="004D3452" w:rsidRDefault="003E23AF" w:rsidP="004D3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3933F97E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19F721EE" w14:textId="45587AE6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Specific lack of skilled professionals to manage rare syndromes or coordinate multidisciplinary care.</w:t>
            </w:r>
          </w:p>
        </w:tc>
      </w:tr>
      <w:tr w:rsidR="00C655FD" w:rsidRPr="004D3452" w14:paraId="3EB7385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0078E9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CF56EE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EAD458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85208B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E24394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D0D759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5F9DEC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DE4BC2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B131D0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74D6ED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0A2B52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8403879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864C71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D36C82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79A83662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Material resources</w:t>
            </w:r>
          </w:p>
        </w:tc>
        <w:tc>
          <w:tcPr>
            <w:tcW w:w="2688" w:type="dxa"/>
            <w:vMerge w:val="restart"/>
            <w:vAlign w:val="center"/>
          </w:tcPr>
          <w:p w14:paraId="453B47BC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0E3BD3FD" w14:textId="2CCE1A3E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Insufficient or outdated equipment, hindering diagnostic or surveillance capabilities.</w:t>
            </w:r>
          </w:p>
        </w:tc>
      </w:tr>
      <w:tr w:rsidR="00C655FD" w:rsidRPr="004D3452" w14:paraId="4B35CD5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2C3503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9E890F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A0F194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04A34D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9DA6A8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1FE149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A13EFC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9E194D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E17816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6CD087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2CA9D3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5D78ED77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B695F0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46FEF9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0546DEA8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D3452">
              <w:rPr>
                <w:rFonts w:ascii="Times New Roman" w:hAnsi="Times New Roman" w:cs="Times New Roman"/>
              </w:rPr>
              <w:t>New service provision</w:t>
            </w:r>
          </w:p>
        </w:tc>
        <w:tc>
          <w:tcPr>
            <w:tcW w:w="2688" w:type="dxa"/>
            <w:vMerge w:val="restart"/>
            <w:vAlign w:val="center"/>
          </w:tcPr>
          <w:p w14:paraId="0AD87713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2D5CD58A" w14:textId="0EC089AB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Gaps between recommended surveillance protocols and real-world implementation due to resource or systemic constraints.</w:t>
            </w:r>
          </w:p>
        </w:tc>
      </w:tr>
      <w:tr w:rsidR="00C655FD" w:rsidRPr="004D3452" w14:paraId="0FB2E5A4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33AE26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50B1ED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6AA1CA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719422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F0A783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41961F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D20780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1AA82C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56725D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12483E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0E3F42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450575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CD0219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7A6588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53A0153A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Communication channels</w:t>
            </w:r>
          </w:p>
        </w:tc>
        <w:tc>
          <w:tcPr>
            <w:tcW w:w="2688" w:type="dxa"/>
            <w:vMerge w:val="restart"/>
            <w:vAlign w:val="center"/>
          </w:tcPr>
          <w:p w14:paraId="3F5B4383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2B39D295" w14:textId="744A7E31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Views about methods used to maintain contact between patients and clinicians.</w:t>
            </w:r>
          </w:p>
        </w:tc>
      </w:tr>
      <w:tr w:rsidR="00C655FD" w:rsidRPr="004D3452" w14:paraId="1704262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934CF0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9F6E82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0350B3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DFD12B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0C4552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DDA32C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539076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7DDD4B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435F8E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5996A0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985D21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77E15F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6DB7F8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DB8E39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2901025C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Care organisation</w:t>
            </w:r>
          </w:p>
        </w:tc>
        <w:tc>
          <w:tcPr>
            <w:tcW w:w="2688" w:type="dxa"/>
            <w:vMerge w:val="restart"/>
            <w:vAlign w:val="center"/>
          </w:tcPr>
          <w:p w14:paraId="26C454B9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54F2F3C1" w14:textId="6393CC70" w:rsidR="00C655FD" w:rsidRPr="004D3452" w:rsidRDefault="00FA5374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Challenges and variability in organising and coordinating multidisciplinary care</w:t>
            </w:r>
            <w:r w:rsidR="00E400F5" w:rsidRPr="004D3452">
              <w:rPr>
                <w:rFonts w:cs="Times New Roman"/>
                <w:color w:val="000000"/>
                <w:sz w:val="22"/>
              </w:rPr>
              <w:t>.</w:t>
            </w:r>
          </w:p>
        </w:tc>
      </w:tr>
      <w:tr w:rsidR="00C655FD" w:rsidRPr="004D3452" w14:paraId="2E269E9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B1CAEC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66A7F5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EA3B4B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958022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0587FA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4B6BFA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A9F983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79E819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6DF60D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293EFA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05DACB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0756CF0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1E3D3E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C44CAA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76209B40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(Des)centralised care</w:t>
            </w:r>
          </w:p>
        </w:tc>
        <w:tc>
          <w:tcPr>
            <w:tcW w:w="2688" w:type="dxa"/>
            <w:vMerge w:val="restart"/>
            <w:vAlign w:val="center"/>
          </w:tcPr>
          <w:p w14:paraId="5BF0D3DE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40FCE1F6" w14:textId="687B508B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(Des)centralisation of specialised care.</w:t>
            </w:r>
          </w:p>
        </w:tc>
      </w:tr>
      <w:tr w:rsidR="00C655FD" w:rsidRPr="004D3452" w14:paraId="5E62A270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3E1137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CB4CC1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F0684F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827E62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DB61C2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D759BA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8FE8B3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82F7F5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136107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22189F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BB72E3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7DA816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3E0FFB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9BE727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1A3ACD93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Collaboration between services</w:t>
            </w:r>
          </w:p>
        </w:tc>
        <w:tc>
          <w:tcPr>
            <w:tcW w:w="2688" w:type="dxa"/>
            <w:vMerge w:val="restart"/>
            <w:vAlign w:val="center"/>
          </w:tcPr>
          <w:p w14:paraId="5CED41AA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14FCF89E" w14:textId="3EF06938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Interactions and communication among healthcare departments or specialists regarding patient care.</w:t>
            </w:r>
          </w:p>
        </w:tc>
      </w:tr>
      <w:tr w:rsidR="00C655FD" w:rsidRPr="004D3452" w14:paraId="4DFC67B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4A3AC4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615FC4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47C4F1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FF305A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92C27B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2C6A57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724390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3AC1E4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D11684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FD9216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7E3A1E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D266BC7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9C750F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E7A52E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55CA1CDC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Psychological support</w:t>
            </w:r>
          </w:p>
        </w:tc>
        <w:tc>
          <w:tcPr>
            <w:tcW w:w="2688" w:type="dxa"/>
            <w:vMerge w:val="restart"/>
            <w:vAlign w:val="center"/>
          </w:tcPr>
          <w:p w14:paraId="45C21AAF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42868198" w14:textId="6E9D6ABB" w:rsidR="00C655FD" w:rsidRPr="004D3452" w:rsidRDefault="0037442A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</w:t>
            </w:r>
            <w:r w:rsidR="00C655FD"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vailability, accessibility, and adequacy of the psychological support service.</w:t>
            </w:r>
          </w:p>
        </w:tc>
      </w:tr>
      <w:tr w:rsidR="00C655FD" w:rsidRPr="004D3452" w14:paraId="0EBE9E3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60176A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132AC5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009F86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98BFBE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A4BF33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321ED6D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1C8428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AADF94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F40313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CADF05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7E9104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25676B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79E379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BC6FF7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5C430B69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Consultation time</w:t>
            </w:r>
          </w:p>
        </w:tc>
        <w:tc>
          <w:tcPr>
            <w:tcW w:w="2688" w:type="dxa"/>
            <w:vMerge w:val="restart"/>
            <w:vAlign w:val="center"/>
          </w:tcPr>
          <w:p w14:paraId="1319A82B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5A55381C" w14:textId="521A8F80" w:rsidR="00C655FD" w:rsidRPr="004D3452" w:rsidRDefault="00C655FD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 xml:space="preserve">Views about appointment durations based on clinicians and </w:t>
            </w:r>
            <w:r w:rsidR="001934E6" w:rsidRPr="004D3452">
              <w:rPr>
                <w:rFonts w:cs="Times New Roman"/>
                <w:color w:val="000000" w:themeColor="text1"/>
                <w:sz w:val="22"/>
              </w:rPr>
              <w:t>patients’</w:t>
            </w:r>
            <w:r w:rsidRPr="004D3452">
              <w:rPr>
                <w:rFonts w:cs="Times New Roman"/>
                <w:color w:val="000000" w:themeColor="text1"/>
                <w:sz w:val="22"/>
              </w:rPr>
              <w:t xml:space="preserve"> needs.</w:t>
            </w:r>
          </w:p>
        </w:tc>
      </w:tr>
      <w:tr w:rsidR="00C655FD" w:rsidRPr="004D3452" w14:paraId="335AC30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A16386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17FB2E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AFEDA5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E0B7C6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9B0167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D667C5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BF8975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AD1EBF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256785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A54578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0ADFA4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232BB80" w14:textId="77777777" w:rsidTr="00EA3FE0">
        <w:trPr>
          <w:trHeight w:val="731"/>
          <w:jc w:val="center"/>
        </w:trPr>
        <w:tc>
          <w:tcPr>
            <w:tcW w:w="1984" w:type="dxa"/>
            <w:vMerge w:val="restart"/>
            <w:vAlign w:val="center"/>
          </w:tcPr>
          <w:p w14:paraId="5FBCB839" w14:textId="77777777" w:rsidR="00C655FD" w:rsidRPr="004D3452" w:rsidRDefault="00C655FD" w:rsidP="00EA3FE0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lastRenderedPageBreak/>
              <w:t>Social Opportunity</w:t>
            </w:r>
          </w:p>
        </w:tc>
        <w:tc>
          <w:tcPr>
            <w:tcW w:w="2268" w:type="dxa"/>
            <w:vMerge w:val="restart"/>
            <w:vAlign w:val="center"/>
          </w:tcPr>
          <w:p w14:paraId="65F43966" w14:textId="4C7EB18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Social influences</w:t>
            </w:r>
          </w:p>
        </w:tc>
        <w:tc>
          <w:tcPr>
            <w:tcW w:w="1848" w:type="dxa"/>
            <w:vMerge w:val="restart"/>
            <w:vAlign w:val="center"/>
          </w:tcPr>
          <w:p w14:paraId="654ADDF6" w14:textId="2CC5C62A" w:rsidR="00C24094" w:rsidRPr="004D3452" w:rsidRDefault="00C655FD" w:rsidP="00C24094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8" w:type="dxa"/>
            <w:vMerge w:val="restart"/>
            <w:vAlign w:val="center"/>
          </w:tcPr>
          <w:p w14:paraId="04321364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101EA1D2" w14:textId="529F4FCD" w:rsidR="00C655FD" w:rsidRPr="004D3452" w:rsidRDefault="00482765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Interpersonal influences on behaviour</w:t>
            </w:r>
          </w:p>
        </w:tc>
      </w:tr>
      <w:tr w:rsidR="00C655FD" w:rsidRPr="004D3452" w14:paraId="10809841" w14:textId="77777777" w:rsidTr="005B3376">
        <w:trPr>
          <w:trHeight w:val="823"/>
          <w:jc w:val="center"/>
        </w:trPr>
        <w:tc>
          <w:tcPr>
            <w:tcW w:w="1984" w:type="dxa"/>
            <w:vMerge/>
            <w:vAlign w:val="center"/>
          </w:tcPr>
          <w:p w14:paraId="6F4FD88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5332B6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716111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49BBD4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5B8758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34B808E" w14:textId="77777777" w:rsidTr="00BF7F6D">
        <w:trPr>
          <w:trHeight w:val="253"/>
          <w:jc w:val="center"/>
        </w:trPr>
        <w:tc>
          <w:tcPr>
            <w:tcW w:w="1984" w:type="dxa"/>
            <w:vMerge/>
            <w:vAlign w:val="center"/>
          </w:tcPr>
          <w:p w14:paraId="305DA68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3CAED6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B033AA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5EDDA2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0D700E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7A4FC0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28F961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97E97C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38924EF7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Social norms</w:t>
            </w:r>
          </w:p>
        </w:tc>
        <w:tc>
          <w:tcPr>
            <w:tcW w:w="2688" w:type="dxa"/>
            <w:vMerge w:val="restart"/>
            <w:vAlign w:val="center"/>
          </w:tcPr>
          <w:p w14:paraId="5FEC3C1C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04CAEAF9" w14:textId="39F43BB0" w:rsidR="00C655FD" w:rsidRPr="004D3452" w:rsidRDefault="001934E6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A</w:t>
            </w:r>
            <w:r w:rsidR="00C655FD"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 xml:space="preserve">ttitudes and expectations, e.g., societal perceptions about something. </w:t>
            </w:r>
          </w:p>
        </w:tc>
      </w:tr>
      <w:tr w:rsidR="00C655FD" w:rsidRPr="004D3452" w14:paraId="023D9812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F66049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7CA0EF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DACB68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5E2431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43577B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9C9D6AD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FFFAB0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E51FAA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A08A1F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83B6D4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ADB4A9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344CB5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F3D97D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8F8049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2DD46EF1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Family pressure</w:t>
            </w:r>
          </w:p>
        </w:tc>
        <w:tc>
          <w:tcPr>
            <w:tcW w:w="2688" w:type="dxa"/>
            <w:vMerge w:val="restart"/>
            <w:vAlign w:val="center"/>
          </w:tcPr>
          <w:p w14:paraId="49B0F0D6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2414210E" w14:textId="733744FA" w:rsidR="00C655FD" w:rsidRPr="004D3452" w:rsidRDefault="001934E6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Pressure</w:t>
            </w:r>
            <w:r w:rsidR="00C655FD"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of family members on the patients’ or clinicians’ decisions</w:t>
            </w:r>
            <w:r w:rsidR="00775061" w:rsidRPr="004D345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.</w:t>
            </w:r>
          </w:p>
        </w:tc>
      </w:tr>
      <w:tr w:rsidR="00C655FD" w:rsidRPr="004D3452" w14:paraId="165E0B3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13A67E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8B00C4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4D5305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1ACDDF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FCCFEF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96D2F4D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0E133B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A8AD60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B422B8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48DABF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A0B2A9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360B22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CBC9E6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B1496F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2FEFCC75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Social support</w:t>
            </w:r>
          </w:p>
        </w:tc>
        <w:tc>
          <w:tcPr>
            <w:tcW w:w="2688" w:type="dxa"/>
            <w:vMerge w:val="restart"/>
            <w:vAlign w:val="center"/>
          </w:tcPr>
          <w:p w14:paraId="1D8378BA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57BB3157" w14:textId="1B5E0DD1" w:rsidR="00C655FD" w:rsidRPr="004D3452" w:rsidRDefault="000D2CBC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Refers to the availability and referral to formal and informal networks that provide emotional, practical, and experiential assistance.</w:t>
            </w:r>
          </w:p>
        </w:tc>
      </w:tr>
      <w:tr w:rsidR="00C655FD" w:rsidRPr="004D3452" w14:paraId="61B826E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F9FF41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664C3D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2BAF27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8F5934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01F096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9F18EB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0BA5DF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8B4917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23D8B4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E14DEB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1B1B82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1D09C6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2FC322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01D0D2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58EB59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0ED81CB9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Relationship patient-clinician</w:t>
            </w:r>
          </w:p>
        </w:tc>
        <w:tc>
          <w:tcPr>
            <w:tcW w:w="4674" w:type="dxa"/>
            <w:vMerge w:val="restart"/>
            <w:vAlign w:val="center"/>
          </w:tcPr>
          <w:p w14:paraId="13D29CA8" w14:textId="743CDE29" w:rsidR="00C655FD" w:rsidRPr="004D3452" w:rsidRDefault="001934E6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R</w:t>
            </w:r>
            <w:r w:rsidR="00C655FD" w:rsidRPr="004D3452">
              <w:rPr>
                <w:rFonts w:eastAsia="Times New Roman" w:cs="Times New Roman"/>
                <w:color w:val="000000" w:themeColor="text1"/>
                <w:sz w:val="22"/>
                <w:lang w:eastAsia="en-GB"/>
              </w:rPr>
              <w:t>elationship between the patients and the clinicians.</w:t>
            </w:r>
          </w:p>
        </w:tc>
      </w:tr>
      <w:tr w:rsidR="00C655FD" w:rsidRPr="004D3452" w14:paraId="601381A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B0C8D7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B9C89C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F5DF52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291AD1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9A8E98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0CD1E74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76305D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CE3FF3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1C1DED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58E57A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0C5D6C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8F11AD9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8162EB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60B15F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0255BB3C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Intergroup professional relationship</w:t>
            </w:r>
          </w:p>
        </w:tc>
        <w:tc>
          <w:tcPr>
            <w:tcW w:w="2688" w:type="dxa"/>
            <w:vMerge w:val="restart"/>
            <w:vAlign w:val="center"/>
          </w:tcPr>
          <w:p w14:paraId="2DFCA9DD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510D5E8D" w14:textId="0E4E1057" w:rsidR="00C655FD" w:rsidRPr="004D3452" w:rsidRDefault="004C345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 xml:space="preserve">Views about </w:t>
            </w:r>
            <w:r w:rsidRPr="004D3452">
              <w:rPr>
                <w:rFonts w:cs="Times New Roman"/>
                <w:color w:val="000000"/>
                <w:sz w:val="22"/>
              </w:rPr>
              <w:t>collaboration and communication between different professional groups.</w:t>
            </w:r>
          </w:p>
        </w:tc>
      </w:tr>
      <w:tr w:rsidR="00C655FD" w:rsidRPr="004D3452" w14:paraId="7BD1F60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49F9F3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AABFD8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329601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557E92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8979F9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59781AF7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0D9A2F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84DF82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235FE3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C67064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767F03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58A52F37" w14:textId="77777777" w:rsidTr="001F688C">
        <w:trPr>
          <w:trHeight w:val="368"/>
          <w:jc w:val="center"/>
        </w:trPr>
        <w:tc>
          <w:tcPr>
            <w:tcW w:w="1984" w:type="dxa"/>
            <w:vMerge/>
            <w:vAlign w:val="center"/>
          </w:tcPr>
          <w:p w14:paraId="6FAF688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7499AA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1DBE8E2D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Peer influence</w:t>
            </w:r>
          </w:p>
        </w:tc>
        <w:tc>
          <w:tcPr>
            <w:tcW w:w="2688" w:type="dxa"/>
            <w:vMerge w:val="restart"/>
            <w:vAlign w:val="center"/>
          </w:tcPr>
          <w:p w14:paraId="32610CD8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503692A9" w14:textId="7E2B7131" w:rsidR="00C655FD" w:rsidRPr="004D3452" w:rsidRDefault="004C345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How colleagues’ views and experience can affect decisions in practice.</w:t>
            </w:r>
          </w:p>
        </w:tc>
      </w:tr>
      <w:tr w:rsidR="00C655FD" w:rsidRPr="004D3452" w14:paraId="2155DC9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411384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3A9F4A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A1CAA1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8B5863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6EA309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744A6D0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5FBF28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D9514C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B4B761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8FEB2C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E1DC61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067E751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FC0403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4D6C893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57D82FBC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Family history</w:t>
            </w:r>
          </w:p>
        </w:tc>
        <w:tc>
          <w:tcPr>
            <w:tcW w:w="2688" w:type="dxa"/>
            <w:vMerge w:val="restart"/>
            <w:vAlign w:val="center"/>
          </w:tcPr>
          <w:p w14:paraId="1BAC20B5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Influence on communication</w:t>
            </w:r>
          </w:p>
        </w:tc>
        <w:tc>
          <w:tcPr>
            <w:tcW w:w="4674" w:type="dxa"/>
            <w:vMerge w:val="restart"/>
            <w:vAlign w:val="center"/>
          </w:tcPr>
          <w:p w14:paraId="356F7853" w14:textId="753F4AB2" w:rsidR="00C655FD" w:rsidRPr="004D3452" w:rsidRDefault="001934E6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hAnsi="Times New Roman" w:cs="Times New Roman"/>
                <w:color w:val="000000" w:themeColor="text1"/>
              </w:rPr>
              <w:t xml:space="preserve">Influence of </w:t>
            </w:r>
            <w:r w:rsidR="00C655FD" w:rsidRPr="004D3452">
              <w:rPr>
                <w:rFonts w:ascii="Times New Roman" w:hAnsi="Times New Roman" w:cs="Times New Roman"/>
                <w:color w:val="000000" w:themeColor="text1"/>
              </w:rPr>
              <w:t xml:space="preserve">family history </w:t>
            </w:r>
            <w:r w:rsidRPr="004D3452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="00C655FD" w:rsidRPr="004D3452">
              <w:rPr>
                <w:rFonts w:ascii="Times New Roman" w:hAnsi="Times New Roman" w:cs="Times New Roman"/>
                <w:color w:val="000000" w:themeColor="text1"/>
              </w:rPr>
              <w:t xml:space="preserve"> clinicians’ communication with patients.</w:t>
            </w:r>
          </w:p>
        </w:tc>
      </w:tr>
      <w:tr w:rsidR="00C655FD" w:rsidRPr="004D3452" w14:paraId="214DC50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D21B5C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146E18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74753F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66CBC4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47F438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150033C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F8C0EC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B1FF0C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366337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2D0C58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E36A47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CC66CA5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598C96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173152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6FFB9A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0B82543A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Influence on patients’ decisions</w:t>
            </w:r>
          </w:p>
        </w:tc>
        <w:tc>
          <w:tcPr>
            <w:tcW w:w="4674" w:type="dxa"/>
            <w:vMerge w:val="restart"/>
            <w:vAlign w:val="center"/>
          </w:tcPr>
          <w:p w14:paraId="21E5ED1E" w14:textId="7A846AF6" w:rsidR="00C655FD" w:rsidRPr="004D3452" w:rsidRDefault="001934E6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 w:themeColor="text1"/>
                <w:sz w:val="22"/>
              </w:rPr>
              <w:t>C</w:t>
            </w:r>
            <w:r w:rsidR="00C655FD" w:rsidRPr="004D3452">
              <w:rPr>
                <w:rFonts w:cs="Times New Roman"/>
                <w:color w:val="000000" w:themeColor="text1"/>
                <w:sz w:val="22"/>
              </w:rPr>
              <w:t>linicians’ perceptions of how family history influences patients’ decisions.</w:t>
            </w:r>
          </w:p>
        </w:tc>
      </w:tr>
      <w:tr w:rsidR="00C655FD" w:rsidRPr="004D3452" w14:paraId="294BA934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342BA2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1EB42B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96ACE8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180FFE7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CE6475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BE76979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6A6E63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BDA99E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C4F2F8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4DF042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AAEB87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E835BFE" w14:textId="77777777" w:rsidTr="001F688C">
        <w:trPr>
          <w:trHeight w:val="253"/>
          <w:jc w:val="center"/>
        </w:trPr>
        <w:tc>
          <w:tcPr>
            <w:tcW w:w="1984" w:type="dxa"/>
            <w:vMerge w:val="restart"/>
            <w:vAlign w:val="center"/>
          </w:tcPr>
          <w:p w14:paraId="07C6224C" w14:textId="5077B6CE" w:rsidR="00FB550F" w:rsidRPr="004D3452" w:rsidRDefault="00C655FD" w:rsidP="00FB550F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Reflective Motivation</w:t>
            </w:r>
          </w:p>
        </w:tc>
        <w:tc>
          <w:tcPr>
            <w:tcW w:w="2268" w:type="dxa"/>
            <w:vMerge w:val="restart"/>
            <w:vAlign w:val="center"/>
          </w:tcPr>
          <w:p w14:paraId="571E8132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1848" w:type="dxa"/>
            <w:vMerge w:val="restart"/>
            <w:vAlign w:val="center"/>
          </w:tcPr>
          <w:p w14:paraId="664AB782" w14:textId="77777777" w:rsidR="00EA3FE0" w:rsidRDefault="00EA3FE0" w:rsidP="004D3452">
            <w:pPr>
              <w:jc w:val="center"/>
              <w:rPr>
                <w:rFonts w:ascii="Times New Roman" w:hAnsi="Times New Roman" w:cs="Times New Roman"/>
              </w:rPr>
            </w:pPr>
          </w:p>
          <w:p w14:paraId="76A1B736" w14:textId="04DBF887" w:rsidR="00EA3FE0" w:rsidRDefault="00C655FD" w:rsidP="00FB550F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Implementation intention</w:t>
            </w:r>
          </w:p>
          <w:p w14:paraId="253F34DE" w14:textId="77777777" w:rsidR="00FB550F" w:rsidRDefault="00FB550F" w:rsidP="00FB550F">
            <w:pPr>
              <w:jc w:val="center"/>
              <w:rPr>
                <w:rFonts w:ascii="Times New Roman" w:hAnsi="Times New Roman" w:cs="Times New Roman"/>
              </w:rPr>
            </w:pPr>
          </w:p>
          <w:p w14:paraId="484F2EDC" w14:textId="5F96373D" w:rsidR="00FB550F" w:rsidRPr="004D3452" w:rsidRDefault="00FB550F" w:rsidP="00FB55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20C583A4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31C8EC7E" w14:textId="77777777" w:rsidR="00FB550F" w:rsidRDefault="00FB550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/>
                <w:sz w:val="22"/>
              </w:rPr>
            </w:pPr>
          </w:p>
          <w:p w14:paraId="2B64FF7A" w14:textId="77777777" w:rsidR="00C655FD" w:rsidRDefault="001934E6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The plan that one creates in advance of when, where, and how one will enact a behaviour</w:t>
            </w:r>
          </w:p>
          <w:p w14:paraId="5457FCA0" w14:textId="20D1F5A1" w:rsidR="00FB550F" w:rsidRPr="004D3452" w:rsidRDefault="00FB550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C655FD" w:rsidRPr="004D3452" w14:paraId="48A74F2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06CFF4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089549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F7F78A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84571C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B2B56A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948B78E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59578B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245F37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09A831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2A3AED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C76813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BBCF3A7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5B6BDD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E9DD9A9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Social/Professional role and identity</w:t>
            </w:r>
          </w:p>
        </w:tc>
        <w:tc>
          <w:tcPr>
            <w:tcW w:w="1848" w:type="dxa"/>
            <w:vMerge w:val="restart"/>
            <w:vAlign w:val="center"/>
          </w:tcPr>
          <w:p w14:paraId="08B432A4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Professional confidence</w:t>
            </w:r>
          </w:p>
        </w:tc>
        <w:tc>
          <w:tcPr>
            <w:tcW w:w="2688" w:type="dxa"/>
            <w:vMerge w:val="restart"/>
            <w:vAlign w:val="center"/>
          </w:tcPr>
          <w:p w14:paraId="04077601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2D46AF39" w14:textId="41196A92" w:rsidR="00C655FD" w:rsidRPr="004D3452" w:rsidRDefault="001934E6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Belief in his or her repertoire of skills and abilit</w:t>
            </w:r>
            <w:r w:rsidR="00F67490" w:rsidRPr="004D3452">
              <w:rPr>
                <w:rFonts w:cs="Times New Roman"/>
                <w:color w:val="000000"/>
                <w:sz w:val="22"/>
              </w:rPr>
              <w:t>y.</w:t>
            </w:r>
          </w:p>
        </w:tc>
      </w:tr>
      <w:tr w:rsidR="00C655FD" w:rsidRPr="004D3452" w14:paraId="093A3D18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ADC0E4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71BC37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F2726D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C0ADCA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7C0C46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E568FC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A46674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9F428E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6D18B7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6FE04FD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0B649FE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9E684B9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9D65D4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FC4FEB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036C02AE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Professional role</w:t>
            </w:r>
          </w:p>
        </w:tc>
        <w:tc>
          <w:tcPr>
            <w:tcW w:w="2688" w:type="dxa"/>
            <w:vMerge w:val="restart"/>
            <w:vAlign w:val="center"/>
          </w:tcPr>
          <w:p w14:paraId="61AF8508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258F6A1C" w14:textId="2240BFDC" w:rsidR="00C655FD" w:rsidRPr="004D3452" w:rsidRDefault="004C345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Perception of the responsibilities, boundaries, and expectations associated with their role.</w:t>
            </w:r>
          </w:p>
        </w:tc>
      </w:tr>
      <w:tr w:rsidR="00C655FD" w:rsidRPr="004D3452" w14:paraId="75CDFD7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B7E6AC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BD3F9C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E22809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CAC0256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DE2832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D39190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A8225D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DF2479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02B1B61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6A34D6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1DE037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848D50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282A93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9A28450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Beliefs about consequences</w:t>
            </w:r>
          </w:p>
        </w:tc>
        <w:tc>
          <w:tcPr>
            <w:tcW w:w="1848" w:type="dxa"/>
            <w:vMerge w:val="restart"/>
            <w:vAlign w:val="center"/>
          </w:tcPr>
          <w:p w14:paraId="5ABAC907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Outcome expectancies</w:t>
            </w:r>
          </w:p>
        </w:tc>
        <w:tc>
          <w:tcPr>
            <w:tcW w:w="2688" w:type="dxa"/>
            <w:vMerge w:val="restart"/>
            <w:vAlign w:val="center"/>
          </w:tcPr>
          <w:p w14:paraId="4ABEF4D3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Perceived emotional impact on patients</w:t>
            </w:r>
          </w:p>
        </w:tc>
        <w:tc>
          <w:tcPr>
            <w:tcW w:w="4674" w:type="dxa"/>
            <w:vMerge w:val="restart"/>
            <w:vAlign w:val="center"/>
          </w:tcPr>
          <w:p w14:paraId="1AC30FFB" w14:textId="72185CB2" w:rsidR="00C655FD" w:rsidRPr="004D3452" w:rsidRDefault="00775FFE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Perceived effects of actions or information on a patient’s emotions.</w:t>
            </w:r>
          </w:p>
        </w:tc>
      </w:tr>
      <w:tr w:rsidR="00C655FD" w:rsidRPr="004D3452" w14:paraId="3782979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D21DE1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750E83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5E8C4F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DD83848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AF3D6C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7CBB36A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7FE176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9D5AAC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506847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6159F9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697C77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BD7425A" w14:textId="77777777" w:rsidTr="001F688C">
        <w:trPr>
          <w:trHeight w:val="592"/>
          <w:jc w:val="center"/>
        </w:trPr>
        <w:tc>
          <w:tcPr>
            <w:tcW w:w="1984" w:type="dxa"/>
            <w:vMerge/>
            <w:vAlign w:val="center"/>
          </w:tcPr>
          <w:p w14:paraId="7CAEB02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4A9201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741BEB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303F606E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Cost-effectiveness of early detection</w:t>
            </w:r>
          </w:p>
        </w:tc>
        <w:tc>
          <w:tcPr>
            <w:tcW w:w="4674" w:type="dxa"/>
            <w:vMerge w:val="restart"/>
            <w:vAlign w:val="center"/>
          </w:tcPr>
          <w:p w14:paraId="0A633AE6" w14:textId="2194249B" w:rsidR="00C655FD" w:rsidRPr="004D3452" w:rsidRDefault="00775FFE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00000"/>
                <w:sz w:val="22"/>
              </w:rPr>
              <w:t>Perception of the balance between the resources, effort, or costs involved in early identification and the potential benefits</w:t>
            </w:r>
          </w:p>
        </w:tc>
      </w:tr>
      <w:tr w:rsidR="00C655FD" w:rsidRPr="004D3452" w14:paraId="7D57C8FD" w14:textId="77777777" w:rsidTr="001F688C">
        <w:trPr>
          <w:trHeight w:val="687"/>
          <w:jc w:val="center"/>
        </w:trPr>
        <w:tc>
          <w:tcPr>
            <w:tcW w:w="1984" w:type="dxa"/>
            <w:vMerge/>
            <w:vAlign w:val="center"/>
          </w:tcPr>
          <w:p w14:paraId="2C194466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6061BE6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20D1EB2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3037156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C3DE3C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2C1F421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BC69C9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D72A22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31C4773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91E047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F9D5B3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A578B1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5BF35A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37B4E0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C6DFA2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022365B2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Impact of continuity and coordination of care</w:t>
            </w:r>
          </w:p>
        </w:tc>
        <w:tc>
          <w:tcPr>
            <w:tcW w:w="4674" w:type="dxa"/>
            <w:vMerge w:val="restart"/>
            <w:vAlign w:val="center"/>
          </w:tcPr>
          <w:p w14:paraId="23010CDF" w14:textId="2A7E1D8A" w:rsidR="00C655FD" w:rsidRPr="004D3452" w:rsidRDefault="00775FFE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proofErr w:type="gramStart"/>
            <w:r w:rsidRPr="004D3452">
              <w:rPr>
                <w:rFonts w:cs="Times New Roman"/>
                <w:color w:val="000000"/>
                <w:sz w:val="22"/>
              </w:rPr>
              <w:t>How</w:t>
            </w:r>
            <w:proofErr w:type="gramEnd"/>
            <w:r w:rsidRPr="004D3452">
              <w:rPr>
                <w:rFonts w:cs="Times New Roman"/>
                <w:color w:val="000000"/>
                <w:sz w:val="22"/>
              </w:rPr>
              <w:t xml:space="preserve"> regular follow-up and coordination between professionals influence the quality, safety, and experience of care for individuals.</w:t>
            </w:r>
          </w:p>
        </w:tc>
      </w:tr>
      <w:tr w:rsidR="00C655FD" w:rsidRPr="004D3452" w14:paraId="0619244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B81196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2B74E1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D3CB15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C6CF5C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1B1EC28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337B8086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D90DDC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999FBE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361C57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8E1BD2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7214C5D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9F1D636" w14:textId="77777777" w:rsidTr="00FB550F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3FE6E5F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2DCF63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21DFB085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8" w:type="dxa"/>
            <w:vMerge w:val="restart"/>
            <w:vAlign w:val="center"/>
          </w:tcPr>
          <w:p w14:paraId="1D83ABDF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5F653D69" w14:textId="57087894" w:rsidR="00C655FD" w:rsidRPr="004D3452" w:rsidRDefault="00FB550F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Extend to each an individua</w:t>
            </w:r>
            <w:r w:rsidR="002E155E">
              <w:rPr>
                <w:rFonts w:cs="Times New Roman"/>
                <w:color w:val="000000" w:themeColor="text1"/>
                <w:sz w:val="22"/>
              </w:rPr>
              <w:t>l accept the</w:t>
            </w:r>
            <w:r w:rsidR="002A5D85">
              <w:rPr>
                <w:rFonts w:cs="Times New Roman"/>
                <w:color w:val="000000" w:themeColor="text1"/>
                <w:sz w:val="22"/>
              </w:rPr>
              <w:t xml:space="preserve"> outcome of a behaviour</w:t>
            </w:r>
          </w:p>
        </w:tc>
      </w:tr>
      <w:tr w:rsidR="00C655FD" w:rsidRPr="004D3452" w14:paraId="63A81EBC" w14:textId="77777777" w:rsidTr="00FB550F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DB3B32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1EBC6D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D37F56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46CD6AD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187D94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9445ED0" w14:textId="77777777" w:rsidTr="00FB550F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3B0023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252C63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C8BD119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AE19C1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C2E5A2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7D54D200" w14:textId="77777777" w:rsidTr="009A7531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EF5F53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CCD9D97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Beliefs about capabilities</w:t>
            </w:r>
          </w:p>
        </w:tc>
        <w:tc>
          <w:tcPr>
            <w:tcW w:w="1848" w:type="dxa"/>
            <w:vMerge w:val="restart"/>
            <w:vAlign w:val="center"/>
          </w:tcPr>
          <w:p w14:paraId="57239CCB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8" w:type="dxa"/>
            <w:vMerge w:val="restart"/>
            <w:vAlign w:val="center"/>
          </w:tcPr>
          <w:p w14:paraId="0C430A04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02E3EF02" w14:textId="5013BE51" w:rsidR="00C655FD" w:rsidRPr="004D3452" w:rsidRDefault="009A7531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Extend to each and individual beliefs and their capability to perfom a behaviour</w:t>
            </w:r>
          </w:p>
        </w:tc>
      </w:tr>
      <w:tr w:rsidR="00C655FD" w:rsidRPr="004D3452" w14:paraId="39AF54C4" w14:textId="77777777" w:rsidTr="009A7531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3A0945A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10C13D62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05C90C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A2BC4CA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5C295BB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96DEC65" w14:textId="77777777" w:rsidTr="009A7531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1653B74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4AACAA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72C3FE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079D653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C404A4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19CD918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912A26D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AEE113B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Beliefs</w:t>
            </w:r>
          </w:p>
        </w:tc>
        <w:tc>
          <w:tcPr>
            <w:tcW w:w="1848" w:type="dxa"/>
            <w:vMerge w:val="restart"/>
            <w:vAlign w:val="center"/>
          </w:tcPr>
          <w:p w14:paraId="5A17D1E8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8" w:type="dxa"/>
            <w:vMerge w:val="restart"/>
            <w:vAlign w:val="center"/>
          </w:tcPr>
          <w:p w14:paraId="5EDCAA70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52837FE0" w14:textId="29899AB7" w:rsidR="00C655FD" w:rsidRPr="004D3452" w:rsidRDefault="000D2CBC" w:rsidP="00386416">
            <w:pPr>
              <w:pStyle w:val="NormalWeb"/>
              <w:spacing w:before="0" w:beforeAutospacing="0" w:after="0" w:afterAutospacing="0"/>
              <w:rPr>
                <w:rFonts w:cs="Times New Roman"/>
                <w:color w:val="000000" w:themeColor="text1"/>
                <w:sz w:val="22"/>
              </w:rPr>
            </w:pPr>
            <w:r w:rsidRPr="004D3452">
              <w:rPr>
                <w:rFonts w:cs="Times New Roman"/>
                <w:color w:val="0F1115"/>
                <w:sz w:val="22"/>
                <w:shd w:val="clear" w:color="auto" w:fill="FFFFFF"/>
              </w:rPr>
              <w:t>Refers to the personal convictions, assumptions, and perspectives regarding the medical condition, risks, communication, and the care process.</w:t>
            </w:r>
          </w:p>
        </w:tc>
      </w:tr>
      <w:tr w:rsidR="00C655FD" w:rsidRPr="004D3452" w14:paraId="04295C8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7E541FF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C5B043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ABEC3AC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3656EC9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557CB91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6D0582AB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41CEB11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16D366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45CC9583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54908DB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489A92FB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E18053B" w14:textId="77777777" w:rsidTr="001F54BA">
        <w:trPr>
          <w:trHeight w:val="253"/>
          <w:jc w:val="center"/>
        </w:trPr>
        <w:tc>
          <w:tcPr>
            <w:tcW w:w="1984" w:type="dxa"/>
            <w:vMerge w:val="restart"/>
            <w:vAlign w:val="center"/>
          </w:tcPr>
          <w:p w14:paraId="0772D203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Automatic Motivation</w:t>
            </w:r>
          </w:p>
        </w:tc>
        <w:tc>
          <w:tcPr>
            <w:tcW w:w="2268" w:type="dxa"/>
            <w:vMerge w:val="restart"/>
            <w:vAlign w:val="center"/>
          </w:tcPr>
          <w:p w14:paraId="5AEF622E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Emotion</w:t>
            </w:r>
          </w:p>
        </w:tc>
        <w:tc>
          <w:tcPr>
            <w:tcW w:w="1848" w:type="dxa"/>
            <w:vMerge w:val="restart"/>
            <w:vAlign w:val="center"/>
          </w:tcPr>
          <w:p w14:paraId="2C96552E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8" w:type="dxa"/>
            <w:vMerge w:val="restart"/>
            <w:vAlign w:val="center"/>
          </w:tcPr>
          <w:p w14:paraId="1E4E90B7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47128F80" w14:textId="0F6FCCD7" w:rsidR="00C655FD" w:rsidRPr="004D3452" w:rsidRDefault="00032CFF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Emotional reaction</w:t>
            </w:r>
            <w:r w:rsidR="001F54BA">
              <w:rPr>
                <w:rFonts w:ascii="Times New Roman" w:hAnsi="Times New Roman" w:cs="Times New Roman"/>
                <w:color w:val="000000" w:themeColor="text1"/>
              </w:rPr>
              <w:t xml:space="preserve"> to a situation</w:t>
            </w:r>
            <w:r w:rsidR="00A05C3E">
              <w:rPr>
                <w:rFonts w:ascii="Times New Roman" w:hAnsi="Times New Roman" w:cs="Times New Roman"/>
                <w:color w:val="000000" w:themeColor="text1"/>
              </w:rPr>
              <w:t xml:space="preserve"> or decision</w:t>
            </w:r>
          </w:p>
        </w:tc>
      </w:tr>
      <w:tr w:rsidR="00C655FD" w:rsidRPr="004D3452" w14:paraId="07475822" w14:textId="77777777" w:rsidTr="001F54BA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6A8D793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506FB8C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690F7710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11578E70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67000832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2267CA15" w14:textId="77777777" w:rsidTr="001F54BA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70CCE6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2156BB74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176224EA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B2EDB55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3FA119CE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4080A329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02C03DB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40CE7F5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Habit</w:t>
            </w:r>
          </w:p>
        </w:tc>
        <w:tc>
          <w:tcPr>
            <w:tcW w:w="1848" w:type="dxa"/>
            <w:vMerge w:val="restart"/>
            <w:vAlign w:val="center"/>
          </w:tcPr>
          <w:p w14:paraId="1E2B5E40" w14:textId="77777777" w:rsidR="00C655FD" w:rsidRPr="004D3452" w:rsidRDefault="00C655FD" w:rsidP="004D3452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8" w:type="dxa"/>
            <w:vMerge w:val="restart"/>
            <w:vAlign w:val="center"/>
          </w:tcPr>
          <w:p w14:paraId="00CB893B" w14:textId="77777777" w:rsidR="00C655FD" w:rsidRPr="004D3452" w:rsidRDefault="00C655FD" w:rsidP="00386416">
            <w:pPr>
              <w:jc w:val="center"/>
              <w:rPr>
                <w:rFonts w:ascii="Times New Roman" w:hAnsi="Times New Roman" w:cs="Times New Roman"/>
              </w:rPr>
            </w:pPr>
            <w:r w:rsidRPr="004D34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4" w:type="dxa"/>
            <w:vMerge w:val="restart"/>
            <w:vAlign w:val="center"/>
          </w:tcPr>
          <w:p w14:paraId="1B5C56F5" w14:textId="0CDA0FD4" w:rsidR="00C655FD" w:rsidRPr="004D3452" w:rsidRDefault="00AE7FB0" w:rsidP="003864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D3452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Refers to the established, systematic procedures and habitual practices.</w:t>
            </w:r>
          </w:p>
        </w:tc>
      </w:tr>
      <w:tr w:rsidR="00C655FD" w:rsidRPr="004D3452" w14:paraId="4557F4F3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22003D0B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7E328265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72C14DC1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7CD0E90F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7589DFB4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55FD" w:rsidRPr="004D3452" w14:paraId="07BFE63F" w14:textId="77777777" w:rsidTr="001F688C">
        <w:trPr>
          <w:trHeight w:val="291"/>
          <w:jc w:val="center"/>
        </w:trPr>
        <w:tc>
          <w:tcPr>
            <w:tcW w:w="1984" w:type="dxa"/>
            <w:vMerge/>
            <w:vAlign w:val="center"/>
          </w:tcPr>
          <w:p w14:paraId="5A5CF228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3AC2C73E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vAlign w:val="center"/>
          </w:tcPr>
          <w:p w14:paraId="5D625FC7" w14:textId="77777777" w:rsidR="00C655FD" w:rsidRPr="004D3452" w:rsidRDefault="00C655FD" w:rsidP="004D3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vMerge/>
            <w:vAlign w:val="center"/>
          </w:tcPr>
          <w:p w14:paraId="22012F5C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vAlign w:val="center"/>
          </w:tcPr>
          <w:p w14:paraId="22829CA3" w14:textId="77777777" w:rsidR="00C655FD" w:rsidRPr="004D3452" w:rsidRDefault="00C655FD" w:rsidP="00386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0A52B13" w14:textId="77777777" w:rsidR="00F84160" w:rsidRPr="00894D6B" w:rsidRDefault="00F84160" w:rsidP="00232C74">
      <w:pPr>
        <w:rPr>
          <w:b/>
          <w:bCs/>
          <w:sz w:val="20"/>
          <w:szCs w:val="20"/>
        </w:rPr>
      </w:pPr>
    </w:p>
    <w:sectPr w:rsidR="00F84160" w:rsidRPr="00894D6B" w:rsidSect="00AF2D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D71F2"/>
    <w:multiLevelType w:val="multilevel"/>
    <w:tmpl w:val="4F7E0AB2"/>
    <w:lvl w:ilvl="0">
      <w:start w:val="1"/>
      <w:numFmt w:val="decimal"/>
      <w:pStyle w:val="Separado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8130F"/>
    <w:multiLevelType w:val="multilevel"/>
    <w:tmpl w:val="A1FA5B92"/>
    <w:lvl w:ilvl="0">
      <w:start w:val="1"/>
      <w:numFmt w:val="decimal"/>
      <w:pStyle w:val="bulletpoint0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5763B"/>
    <w:multiLevelType w:val="multilevel"/>
    <w:tmpl w:val="1924D1D6"/>
    <w:lvl w:ilvl="0">
      <w:start w:val="1"/>
      <w:numFmt w:val="decimal"/>
      <w:pStyle w:val="ListBulle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86737">
    <w:abstractNumId w:val="1"/>
  </w:num>
  <w:num w:numId="2" w16cid:durableId="328942846">
    <w:abstractNumId w:val="0"/>
  </w:num>
  <w:num w:numId="3" w16cid:durableId="180650551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D4"/>
    <w:rsid w:val="0000127D"/>
    <w:rsid w:val="00005542"/>
    <w:rsid w:val="000131A1"/>
    <w:rsid w:val="00032CFF"/>
    <w:rsid w:val="0004551B"/>
    <w:rsid w:val="00052D3D"/>
    <w:rsid w:val="00082705"/>
    <w:rsid w:val="000D130E"/>
    <w:rsid w:val="000D2CBC"/>
    <w:rsid w:val="00106466"/>
    <w:rsid w:val="001101BF"/>
    <w:rsid w:val="001352F5"/>
    <w:rsid w:val="00163ED7"/>
    <w:rsid w:val="00193200"/>
    <w:rsid w:val="001934E6"/>
    <w:rsid w:val="001A343F"/>
    <w:rsid w:val="001A62C2"/>
    <w:rsid w:val="001B56F1"/>
    <w:rsid w:val="001B768D"/>
    <w:rsid w:val="001F54BA"/>
    <w:rsid w:val="001F688C"/>
    <w:rsid w:val="00202068"/>
    <w:rsid w:val="00232C74"/>
    <w:rsid w:val="00253C39"/>
    <w:rsid w:val="00276AB7"/>
    <w:rsid w:val="00286FBC"/>
    <w:rsid w:val="002A5D85"/>
    <w:rsid w:val="002B4044"/>
    <w:rsid w:val="002E155E"/>
    <w:rsid w:val="002E6368"/>
    <w:rsid w:val="002F15AA"/>
    <w:rsid w:val="0037442A"/>
    <w:rsid w:val="00385206"/>
    <w:rsid w:val="00386416"/>
    <w:rsid w:val="003E23AF"/>
    <w:rsid w:val="003E2A98"/>
    <w:rsid w:val="003F4CF5"/>
    <w:rsid w:val="00415C0B"/>
    <w:rsid w:val="00472F8F"/>
    <w:rsid w:val="00482765"/>
    <w:rsid w:val="004834AB"/>
    <w:rsid w:val="004850D9"/>
    <w:rsid w:val="004A637C"/>
    <w:rsid w:val="004C345F"/>
    <w:rsid w:val="004D2F9C"/>
    <w:rsid w:val="004D3452"/>
    <w:rsid w:val="00512D9E"/>
    <w:rsid w:val="005B3376"/>
    <w:rsid w:val="005B6C95"/>
    <w:rsid w:val="0064117F"/>
    <w:rsid w:val="00690C54"/>
    <w:rsid w:val="006C070B"/>
    <w:rsid w:val="006C7EF4"/>
    <w:rsid w:val="006E1CDA"/>
    <w:rsid w:val="006E6068"/>
    <w:rsid w:val="00702BE7"/>
    <w:rsid w:val="00775061"/>
    <w:rsid w:val="00775FFE"/>
    <w:rsid w:val="007775A3"/>
    <w:rsid w:val="007A61FB"/>
    <w:rsid w:val="007E3087"/>
    <w:rsid w:val="00806A02"/>
    <w:rsid w:val="00822B97"/>
    <w:rsid w:val="008465FD"/>
    <w:rsid w:val="00894D6B"/>
    <w:rsid w:val="008B165D"/>
    <w:rsid w:val="008D0879"/>
    <w:rsid w:val="008D4E30"/>
    <w:rsid w:val="00952840"/>
    <w:rsid w:val="00992F4D"/>
    <w:rsid w:val="009A3034"/>
    <w:rsid w:val="009A4940"/>
    <w:rsid w:val="009A7531"/>
    <w:rsid w:val="009C1A69"/>
    <w:rsid w:val="009C4EB4"/>
    <w:rsid w:val="009F4DC1"/>
    <w:rsid w:val="00A05C3E"/>
    <w:rsid w:val="00A76854"/>
    <w:rsid w:val="00A778B1"/>
    <w:rsid w:val="00A806D5"/>
    <w:rsid w:val="00AB4B1D"/>
    <w:rsid w:val="00AC1E2D"/>
    <w:rsid w:val="00AE7FB0"/>
    <w:rsid w:val="00AF2DD4"/>
    <w:rsid w:val="00B146DA"/>
    <w:rsid w:val="00B152D4"/>
    <w:rsid w:val="00B33FE0"/>
    <w:rsid w:val="00BC1E90"/>
    <w:rsid w:val="00BD7368"/>
    <w:rsid w:val="00BF7F6D"/>
    <w:rsid w:val="00C078C4"/>
    <w:rsid w:val="00C24094"/>
    <w:rsid w:val="00C26BC0"/>
    <w:rsid w:val="00C3275E"/>
    <w:rsid w:val="00C561DC"/>
    <w:rsid w:val="00C6488B"/>
    <w:rsid w:val="00C655FD"/>
    <w:rsid w:val="00CC39F0"/>
    <w:rsid w:val="00D461E5"/>
    <w:rsid w:val="00DE0944"/>
    <w:rsid w:val="00E0093D"/>
    <w:rsid w:val="00E30012"/>
    <w:rsid w:val="00E400F5"/>
    <w:rsid w:val="00E6302E"/>
    <w:rsid w:val="00E87552"/>
    <w:rsid w:val="00EA3FE0"/>
    <w:rsid w:val="00F1108A"/>
    <w:rsid w:val="00F67490"/>
    <w:rsid w:val="00F84160"/>
    <w:rsid w:val="00F858BE"/>
    <w:rsid w:val="00FA5374"/>
    <w:rsid w:val="00FB550F"/>
    <w:rsid w:val="00F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8A4EE3"/>
  <w15:chartTrackingRefBased/>
  <w15:docId w15:val="{1724DB4F-2AE5-465B-90F8-6A8EDA45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2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D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D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D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D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2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2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F2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F2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F2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D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aliases w:val="Footnote"/>
    <w:basedOn w:val="Normal"/>
    <w:next w:val="Normal"/>
    <w:link w:val="QuoteChar"/>
    <w:uiPriority w:val="29"/>
    <w:qFormat/>
    <w:rsid w:val="00AF2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Footnote Char"/>
    <w:basedOn w:val="DefaultParagraphFont"/>
    <w:link w:val="Quote"/>
    <w:uiPriority w:val="29"/>
    <w:rsid w:val="00AF2DD4"/>
    <w:rPr>
      <w:i/>
      <w:iCs/>
      <w:color w:val="404040" w:themeColor="text1" w:themeTint="BF"/>
    </w:rPr>
  </w:style>
  <w:style w:type="paragraph" w:styleId="ListParagraph">
    <w:name w:val="List Paragraph"/>
    <w:aliases w:val="Bullet points"/>
    <w:basedOn w:val="Normal"/>
    <w:link w:val="ListParagraphChar"/>
    <w:uiPriority w:val="34"/>
    <w:qFormat/>
    <w:rsid w:val="00AF2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DD4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aliases w:val="Body text"/>
    <w:uiPriority w:val="1"/>
    <w:qFormat/>
    <w:rsid w:val="00AF2DD4"/>
    <w:pPr>
      <w:spacing w:before="240" w:after="240" w:line="360" w:lineRule="auto"/>
      <w:jc w:val="both"/>
    </w:pPr>
    <w:rPr>
      <w:rFonts w:ascii="Arial" w:eastAsia="Arial" w:hAnsi="Arial" w:cs="Arial"/>
      <w:kern w:val="0"/>
      <w:sz w:val="22"/>
      <w:szCs w:val="22"/>
      <w:lang w:val="pt-PT" w:eastAsia="pt-PT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AF2DD4"/>
    <w:pPr>
      <w:spacing w:before="240" w:after="240"/>
      <w:outlineLvl w:val="9"/>
    </w:pPr>
    <w:rPr>
      <w:rFonts w:eastAsia="Arial" w:cs="Arial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F2DD4"/>
    <w:pPr>
      <w:tabs>
        <w:tab w:val="left" w:pos="440"/>
        <w:tab w:val="right" w:leader="dot" w:pos="10194"/>
      </w:tabs>
      <w:spacing w:after="10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AF2D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2DD4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F2DD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61">
    <w:name w:val="List Table 6 Colorful - Accent 61"/>
    <w:basedOn w:val="TableNormal"/>
    <w:uiPriority w:val="51"/>
    <w:rsid w:val="00AF2DD4"/>
    <w:pPr>
      <w:spacing w:after="0" w:line="240" w:lineRule="auto"/>
      <w:jc w:val="both"/>
    </w:pPr>
    <w:rPr>
      <w:rFonts w:ascii="Arial" w:eastAsia="Arial" w:hAnsi="Arial" w:cs="Arial"/>
      <w:color w:val="3A7C22" w:themeColor="accent6" w:themeShade="BF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F2DD4"/>
    <w:pPr>
      <w:spacing w:before="240" w:after="240"/>
      <w:jc w:val="center"/>
    </w:pPr>
    <w:rPr>
      <w:b/>
      <w:i/>
      <w:iCs/>
      <w:color w:val="196B24" w:themeColor="accent3"/>
      <w:sz w:val="20"/>
      <w:szCs w:val="18"/>
    </w:rPr>
  </w:style>
  <w:style w:type="character" w:styleId="BookTitle">
    <w:name w:val="Book Title"/>
    <w:aliases w:val="Legenda da tabela"/>
    <w:basedOn w:val="DefaultParagraphFont"/>
    <w:uiPriority w:val="33"/>
    <w:qFormat/>
    <w:rsid w:val="00AF2DD4"/>
    <w:rPr>
      <w:rFonts w:ascii="Arial" w:hAnsi="Arial"/>
      <w:b/>
      <w:bCs/>
      <w:i w:val="0"/>
      <w:iCs/>
      <w:color w:val="032735" w:themeColor="accent4" w:themeShade="40"/>
      <w:spacing w:val="5"/>
      <w:sz w:val="18"/>
    </w:rPr>
  </w:style>
  <w:style w:type="paragraph" w:styleId="Header">
    <w:name w:val="header"/>
    <w:basedOn w:val="Normal"/>
    <w:link w:val="HeaderChar"/>
    <w:uiPriority w:val="99"/>
    <w:unhideWhenUsed/>
    <w:rsid w:val="00AF2DD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DD4"/>
    <w:rPr>
      <w:rFonts w:ascii="Arial" w:eastAsia="Arial" w:hAnsi="Arial" w:cs="Arial"/>
      <w:kern w:val="0"/>
      <w:sz w:val="22"/>
      <w:szCs w:val="22"/>
      <w:lang w:val="en-GB" w:eastAsia="pt-P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2DD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DD4"/>
    <w:rPr>
      <w:rFonts w:ascii="Arial" w:eastAsia="Arial" w:hAnsi="Arial" w:cs="Arial"/>
      <w:kern w:val="0"/>
      <w:sz w:val="22"/>
      <w:szCs w:val="22"/>
      <w:lang w:val="en-GB" w:eastAsia="pt-PT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AF2DD4"/>
  </w:style>
  <w:style w:type="table" w:customStyle="1" w:styleId="ListTable5Dark1">
    <w:name w:val="List Table 5 Dark1"/>
    <w:basedOn w:val="TableNormal"/>
    <w:uiPriority w:val="50"/>
    <w:rsid w:val="00AF2DD4"/>
    <w:pPr>
      <w:spacing w:after="0" w:line="240" w:lineRule="auto"/>
      <w:jc w:val="both"/>
    </w:pPr>
    <w:rPr>
      <w:rFonts w:ascii="Arial" w:eastAsia="Arial" w:hAnsi="Arial" w:cs="Arial"/>
      <w:color w:val="FFFFFF" w:themeColor="background1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Arial" w:hAnsi="Arial"/>
        <w:b/>
        <w:bCs/>
        <w:color w:val="FFFFFF" w:themeColor="background1"/>
      </w:rPr>
      <w:tblPr/>
      <w:tcPr>
        <w:shd w:val="clear" w:color="auto" w:fill="141F31"/>
      </w:tcPr>
    </w:tblStylePr>
    <w:tblStylePr w:type="lastRow">
      <w:rPr>
        <w:rFonts w:ascii="Arial" w:hAnsi="Arial"/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Arial" w:hAnsi="Arial"/>
        <w:b w:val="0"/>
        <w:bCs/>
        <w:color w:val="000000" w:themeColor="text1"/>
        <w:sz w:val="20"/>
      </w:rPr>
      <w:tblPr/>
      <w:tcPr>
        <w:shd w:val="clear" w:color="auto" w:fill="F3F3F1"/>
      </w:tcPr>
    </w:tblStylePr>
    <w:tblStylePr w:type="lastCol">
      <w:rPr>
        <w:rFonts w:ascii="Arial" w:hAnsi="Arial"/>
        <w:b w:val="0"/>
        <w:bCs/>
        <w:color w:val="000000" w:themeColor="text1"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ascii="Arial" w:hAnsi="Arial"/>
        <w:color w:val="000000" w:themeColor="text1"/>
        <w:sz w:val="20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ascii="Arial" w:hAnsi="Arial"/>
        <w:color w:val="000000" w:themeColor="text1"/>
      </w:rPr>
      <w:tblPr/>
      <w:tcPr>
        <w:shd w:val="clear" w:color="auto" w:fill="F3F3F1"/>
      </w:tcPr>
    </w:tblStylePr>
    <w:tblStylePr w:type="band2Horz">
      <w:rPr>
        <w:rFonts w:ascii="Arial" w:hAnsi="Arial"/>
        <w:color w:val="000000" w:themeColor="text1"/>
        <w:sz w:val="20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Grelha4-Destaque61">
    <w:name w:val="Tabela de Grelha 4 - Destaque 61"/>
    <w:basedOn w:val="TableNormal"/>
    <w:uiPriority w:val="49"/>
    <w:rsid w:val="00AF2DD4"/>
    <w:pPr>
      <w:spacing w:before="120" w:after="120" w:line="240" w:lineRule="auto"/>
      <w:jc w:val="both"/>
    </w:pPr>
    <w:rPr>
      <w:rFonts w:ascii="Arial" w:eastAsia="Arial" w:hAnsi="Arial" w:cs="Arial"/>
      <w:kern w:val="0"/>
      <w:sz w:val="22"/>
      <w:szCs w:val="22"/>
      <w:lang w:val="pt-PT" w:eastAsia="pt-PT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customStyle="1" w:styleId="TableContent">
    <w:name w:val="Table Content"/>
    <w:basedOn w:val="Normal"/>
    <w:link w:val="TableContentChar"/>
    <w:rsid w:val="00AF2DD4"/>
    <w:pPr>
      <w:spacing w:line="300" w:lineRule="auto"/>
      <w:jc w:val="center"/>
    </w:pPr>
    <w:rPr>
      <w:color w:val="262626" w:themeColor="text1" w:themeTint="D9"/>
      <w:kern w:val="24"/>
      <w:szCs w:val="16"/>
    </w:rPr>
  </w:style>
  <w:style w:type="character" w:customStyle="1" w:styleId="TableContentChar">
    <w:name w:val="Table Content Char"/>
    <w:basedOn w:val="DefaultParagraphFont"/>
    <w:link w:val="TableContent"/>
    <w:rsid w:val="00AF2DD4"/>
    <w:rPr>
      <w:rFonts w:ascii="Arial" w:eastAsia="Arial" w:hAnsi="Arial" w:cs="Arial"/>
      <w:color w:val="262626" w:themeColor="text1" w:themeTint="D9"/>
      <w:kern w:val="24"/>
      <w:sz w:val="22"/>
      <w:szCs w:val="16"/>
      <w:lang w:val="en-GB" w:eastAsia="pt-PT"/>
      <w14:ligatures w14:val="none"/>
    </w:rPr>
  </w:style>
  <w:style w:type="table" w:customStyle="1" w:styleId="PlainTable41">
    <w:name w:val="Plain Table 41"/>
    <w:basedOn w:val="TableNormal"/>
    <w:uiPriority w:val="44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AF2DD4"/>
    <w:pPr>
      <w:spacing w:after="0" w:line="240" w:lineRule="auto"/>
      <w:jc w:val="both"/>
    </w:pPr>
    <w:rPr>
      <w:rFonts w:ascii="Arial" w:eastAsia="Arial" w:hAnsi="Arial" w:cs="Arial"/>
      <w:color w:val="0B769F" w:themeColor="accent4" w:themeShade="BF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1Light-Accent41">
    <w:name w:val="List Table 1 Light - Accent 41"/>
    <w:basedOn w:val="TableNormal"/>
    <w:uiPriority w:val="46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AF2DD4"/>
    <w:pPr>
      <w:spacing w:after="0" w:line="240" w:lineRule="auto"/>
      <w:jc w:val="both"/>
    </w:pPr>
    <w:rPr>
      <w:rFonts w:ascii="Arial" w:eastAsia="Arial" w:hAnsi="Arial" w:cs="Arial"/>
      <w:color w:val="141F31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EBAA07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0D253D" w:themeFill="text2" w:themeFillShade="F2"/>
      </w:tcPr>
    </w:tblStylePr>
  </w:style>
  <w:style w:type="paragraph" w:customStyle="1" w:styleId="bulletpoint02">
    <w:name w:val="bullet point02"/>
    <w:basedOn w:val="Heading2"/>
    <w:link w:val="bulletpoint02Carter"/>
    <w:rsid w:val="00AF2DD4"/>
    <w:pPr>
      <w:numPr>
        <w:numId w:val="1"/>
      </w:numPr>
      <w:spacing w:before="0" w:after="0" w:line="360" w:lineRule="auto"/>
      <w:ind w:left="0" w:firstLine="0"/>
    </w:pPr>
    <w:rPr>
      <w:rFonts w:ascii="Arial" w:eastAsia="Arial" w:hAnsi="Arial" w:cs="Arial"/>
      <w:sz w:val="22"/>
    </w:rPr>
  </w:style>
  <w:style w:type="character" w:customStyle="1" w:styleId="bulletpoint02Carter">
    <w:name w:val="bullet point02 Caráter"/>
    <w:basedOn w:val="Heading2Char"/>
    <w:link w:val="bulletpoint02"/>
    <w:rsid w:val="00AF2DD4"/>
    <w:rPr>
      <w:rFonts w:ascii="Arial" w:eastAsia="Arial" w:hAnsi="Arial" w:cs="Arial"/>
      <w:color w:val="0F4761" w:themeColor="accent1" w:themeShade="BF"/>
      <w:kern w:val="0"/>
      <w:sz w:val="22"/>
      <w:szCs w:val="32"/>
      <w:lang w:val="en-GB" w:eastAsia="pt-PT"/>
      <w14:ligatures w14:val="none"/>
    </w:rPr>
  </w:style>
  <w:style w:type="paragraph" w:customStyle="1" w:styleId="Default">
    <w:name w:val="Default"/>
    <w:rsid w:val="00AF2DD4"/>
    <w:pPr>
      <w:autoSpaceDE w:val="0"/>
      <w:autoSpaceDN w:val="0"/>
      <w:adjustRightInd w:val="0"/>
      <w:spacing w:after="0" w:line="240" w:lineRule="auto"/>
      <w:jc w:val="both"/>
    </w:pPr>
    <w:rPr>
      <w:rFonts w:ascii="Calibri" w:eastAsia="Arial" w:hAnsi="Calibri" w:cs="Calibri"/>
      <w:color w:val="000000"/>
      <w:kern w:val="0"/>
      <w:lang w:val="en-GB" w:eastAsia="pt-PT"/>
      <w14:ligatures w14:val="none"/>
    </w:rPr>
  </w:style>
  <w:style w:type="paragraph" w:customStyle="1" w:styleId="Separador">
    <w:name w:val="Separador"/>
    <w:basedOn w:val="Normal"/>
    <w:link w:val="SeparadorCarter"/>
    <w:rsid w:val="00AF2DD4"/>
    <w:pPr>
      <w:numPr>
        <w:numId w:val="2"/>
      </w:numPr>
      <w:ind w:left="0" w:firstLine="0"/>
      <w:jc w:val="right"/>
    </w:pPr>
    <w:rPr>
      <w:rFonts w:ascii="Arial Black" w:hAnsi="Arial Black"/>
      <w:b/>
      <w:color w:val="FFFFFF" w:themeColor="background1"/>
      <w:sz w:val="64"/>
    </w:rPr>
  </w:style>
  <w:style w:type="character" w:customStyle="1" w:styleId="SeparadorCarter">
    <w:name w:val="Separador Caráter"/>
    <w:basedOn w:val="DefaultParagraphFont"/>
    <w:link w:val="Separador"/>
    <w:rsid w:val="00AF2DD4"/>
    <w:rPr>
      <w:rFonts w:ascii="Arial Black" w:eastAsia="Arial" w:hAnsi="Arial Black" w:cs="Arial"/>
      <w:b/>
      <w:color w:val="FFFFFF" w:themeColor="background1"/>
      <w:kern w:val="0"/>
      <w:sz w:val="64"/>
      <w:szCs w:val="22"/>
      <w:lang w:val="en-GB" w:eastAsia="pt-PT"/>
      <w14:ligatures w14:val="none"/>
    </w:rPr>
  </w:style>
  <w:style w:type="table" w:customStyle="1" w:styleId="MONTEVITISPROJECTTABLE">
    <w:name w:val="MONTEVITIS PROJECT TABLE"/>
    <w:basedOn w:val="TableNormal"/>
    <w:uiPriority w:val="49"/>
    <w:rsid w:val="00AF2DD4"/>
    <w:pPr>
      <w:spacing w:before="120" w:after="12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0E2841" w:themeColor="text2"/>
        <w:left w:val="single" w:sz="4" w:space="0" w:color="0E2841" w:themeColor="text2"/>
        <w:bottom w:val="single" w:sz="4" w:space="0" w:color="0E2841" w:themeColor="text2"/>
        <w:right w:val="single" w:sz="4" w:space="0" w:color="0E2841" w:themeColor="text2"/>
        <w:insideH w:val="single" w:sz="4" w:space="0" w:color="0E2841" w:themeColor="text2"/>
        <w:insideV w:val="single" w:sz="4" w:space="0" w:color="0E2841" w:themeColor="text2"/>
      </w:tblBorders>
    </w:tblPr>
    <w:tcPr>
      <w:shd w:val="clear" w:color="auto" w:fill="FFFFFF" w:themeFill="background1"/>
      <w:vAlign w:val="center"/>
    </w:tcPr>
    <w:tblStylePr w:type="firstRow">
      <w:pPr>
        <w:wordWrap/>
        <w:spacing w:beforeLines="0" w:before="120" w:beforeAutospacing="0" w:afterLines="0" w:after="120" w:afterAutospacing="0" w:line="360" w:lineRule="auto"/>
        <w:contextualSpacing w:val="0"/>
        <w:jc w:val="left"/>
      </w:pPr>
      <w:rPr>
        <w:rFonts w:ascii="Arial" w:hAnsi="Arial"/>
        <w:b w:val="0"/>
        <w:bCs/>
        <w:color w:val="FFFFFF" w:themeColor="background1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rFonts w:ascii="Arial" w:hAnsi="Arial"/>
        <w:b w:val="0"/>
        <w:bCs/>
        <w:color w:val="auto"/>
        <w:sz w:val="20"/>
      </w:rPr>
    </w:tblStylePr>
    <w:tblStylePr w:type="band1Vert">
      <w:rPr>
        <w:rFonts w:ascii="Arial" w:hAnsi="Arial"/>
        <w:color w:val="auto"/>
        <w:sz w:val="20"/>
      </w:rPr>
      <w:tblPr/>
      <w:tcPr>
        <w:shd w:val="clear" w:color="auto" w:fill="FFFFFF" w:themeFill="background1"/>
      </w:tcPr>
    </w:tblStylePr>
    <w:tblStylePr w:type="band2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color w:val="auto"/>
        <w:sz w:val="20"/>
      </w:rPr>
    </w:tblStylePr>
    <w:tblStylePr w:type="neCell">
      <w:rPr>
        <w:rFonts w:ascii="Arial" w:hAnsi="Arial"/>
        <w:sz w:val="20"/>
      </w:rPr>
    </w:tblStylePr>
    <w:tblStylePr w:type="nwCell">
      <w:rPr>
        <w:rFonts w:ascii="Arial" w:hAnsi="Arial"/>
        <w:b w:val="0"/>
        <w:color w:val="auto"/>
        <w:sz w:val="20"/>
      </w:rPr>
    </w:tblStylePr>
    <w:tblStylePr w:type="seCell">
      <w:rPr>
        <w:rFonts w:ascii="Arial" w:hAnsi="Arial"/>
        <w:color w:val="auto"/>
        <w:sz w:val="20"/>
      </w:rPr>
    </w:tblStylePr>
    <w:tblStylePr w:type="swCell">
      <w:rPr>
        <w:rFonts w:ascii="Arial" w:hAnsi="Arial"/>
        <w:sz w:val="20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F2D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DD4"/>
    <w:rPr>
      <w:rFonts w:ascii="Tahoma" w:eastAsia="Arial" w:hAnsi="Tahoma" w:cs="Tahoma"/>
      <w:kern w:val="0"/>
      <w:sz w:val="16"/>
      <w:szCs w:val="16"/>
      <w:lang w:val="en-GB" w:eastAsia="pt-PT"/>
      <w14:ligatures w14:val="none"/>
    </w:rPr>
  </w:style>
  <w:style w:type="character" w:styleId="SubtleEmphasis">
    <w:name w:val="Subtle Emphasis"/>
    <w:basedOn w:val="DefaultParagraphFont"/>
    <w:uiPriority w:val="19"/>
    <w:qFormat/>
    <w:rsid w:val="00AF2DD4"/>
    <w:rPr>
      <w:i/>
      <w:iCs/>
      <w:color w:val="808080" w:themeColor="text1" w:themeTint="7F"/>
    </w:rPr>
  </w:style>
  <w:style w:type="table" w:customStyle="1" w:styleId="TableGridLight1">
    <w:name w:val="Table Grid Light1"/>
    <w:basedOn w:val="TableNormal"/>
    <w:uiPriority w:val="40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pt-PT" w:eastAsia="pt-PT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ghtList">
    <w:name w:val="Light List"/>
    <w:basedOn w:val="TableNormal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2">
    <w:name w:val="Light List Accent 2"/>
    <w:basedOn w:val="TableNormal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8" w:space="0" w:color="808080" w:themeColor="background1" w:themeShade="80"/>
        <w:insideV w:val="single" w:sz="8" w:space="0" w:color="808080" w:themeColor="background1" w:themeShade="8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swCell">
      <w:rPr>
        <w:u w:val="none"/>
      </w:rPr>
    </w:tblStylePr>
  </w:style>
  <w:style w:type="table" w:styleId="LightList-Accent6">
    <w:name w:val="Light List Accent 6"/>
    <w:basedOn w:val="TableNormal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paragraph" w:styleId="ListBullet">
    <w:name w:val="List Bullet"/>
    <w:basedOn w:val="Normal"/>
    <w:uiPriority w:val="13"/>
    <w:semiHidden/>
    <w:rsid w:val="00AF2DD4"/>
    <w:pPr>
      <w:numPr>
        <w:numId w:val="3"/>
      </w:numPr>
      <w:spacing w:before="40" w:after="120" w:line="276" w:lineRule="auto"/>
      <w:ind w:left="0" w:firstLine="0"/>
      <w:contextualSpacing/>
    </w:pPr>
    <w:rPr>
      <w:rFonts w:ascii="Calibri" w:hAnsi="Calibri" w:cs="Calibri"/>
      <w:b/>
      <w:sz w:val="24"/>
    </w:rPr>
  </w:style>
  <w:style w:type="paragraph" w:customStyle="1" w:styleId="TableParagraph">
    <w:name w:val="Table Paragraph"/>
    <w:basedOn w:val="Normal"/>
    <w:uiPriority w:val="1"/>
    <w:rsid w:val="00AF2DD4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2DD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rsid w:val="00AF2DD4"/>
    <w:pPr>
      <w:widowControl w:val="0"/>
      <w:autoSpaceDE w:val="0"/>
      <w:autoSpaceDN w:val="0"/>
      <w:jc w:val="lef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AF2DD4"/>
    <w:rPr>
      <w:rFonts w:ascii="Times New Roman" w:eastAsia="Arial" w:hAnsi="Times New Roman" w:cs="Arial"/>
      <w:kern w:val="0"/>
      <w:sz w:val="22"/>
      <w:szCs w:val="22"/>
      <w:lang w:val="en-GB" w:eastAsia="pt-PT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2D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2DD4"/>
    <w:rPr>
      <w:rFonts w:ascii="Arial" w:eastAsia="Arial" w:hAnsi="Arial" w:cs="Arial"/>
      <w:kern w:val="0"/>
      <w:sz w:val="20"/>
      <w:szCs w:val="20"/>
      <w:lang w:val="en-GB" w:eastAsia="pt-PT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F2DD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F2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D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DD4"/>
    <w:rPr>
      <w:rFonts w:ascii="Arial" w:eastAsia="Arial" w:hAnsi="Arial" w:cs="Arial"/>
      <w:kern w:val="0"/>
      <w:sz w:val="20"/>
      <w:szCs w:val="20"/>
      <w:lang w:val="en-GB" w:eastAsia="pt-P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DD4"/>
    <w:rPr>
      <w:rFonts w:ascii="Arial" w:eastAsia="Arial" w:hAnsi="Arial" w:cs="Arial"/>
      <w:b/>
      <w:bCs/>
      <w:kern w:val="0"/>
      <w:sz w:val="20"/>
      <w:szCs w:val="20"/>
      <w:lang w:val="en-GB" w:eastAsia="pt-PT"/>
      <w14:ligatures w14:val="none"/>
    </w:rPr>
  </w:style>
  <w:style w:type="paragraph" w:styleId="NormalWeb">
    <w:name w:val="Normal (Web)"/>
    <w:basedOn w:val="Normal"/>
    <w:uiPriority w:val="99"/>
    <w:unhideWhenUsed/>
    <w:rsid w:val="00AF2DD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markedcontent">
    <w:name w:val="markedcontent"/>
    <w:basedOn w:val="DefaultParagraphFont"/>
    <w:rsid w:val="00AF2DD4"/>
  </w:style>
  <w:style w:type="character" w:customStyle="1" w:styleId="droppable-breadcrumb">
    <w:name w:val="droppable-breadcrumb"/>
    <w:basedOn w:val="DefaultParagraphFont"/>
    <w:rsid w:val="00AF2DD4"/>
  </w:style>
  <w:style w:type="character" w:customStyle="1" w:styleId="apple-converted-space">
    <w:name w:val="apple-converted-space"/>
    <w:basedOn w:val="DefaultParagraphFont"/>
    <w:rsid w:val="00AF2DD4"/>
  </w:style>
  <w:style w:type="character" w:styleId="Strong">
    <w:name w:val="Strong"/>
    <w:basedOn w:val="DefaultParagraphFont"/>
    <w:uiPriority w:val="22"/>
    <w:qFormat/>
    <w:rsid w:val="00AF2DD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F2DD4"/>
    <w:rPr>
      <w:color w:val="96607D" w:themeColor="followedHyperlink"/>
      <w:u w:val="single"/>
    </w:rPr>
  </w:style>
  <w:style w:type="table" w:customStyle="1" w:styleId="TEMPLATEtable">
    <w:name w:val="TEMPLATE table"/>
    <w:basedOn w:val="TableNormal"/>
    <w:uiPriority w:val="99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000000" w:themeFill="text1"/>
      </w:tcPr>
    </w:tblStylePr>
    <w:tblStylePr w:type="firstCol">
      <w:rPr>
        <w:b/>
      </w:rPr>
    </w:tblStylePr>
  </w:style>
  <w:style w:type="character" w:styleId="Emphasis">
    <w:name w:val="Emphasis"/>
    <w:basedOn w:val="DefaultParagraphFont"/>
    <w:uiPriority w:val="20"/>
    <w:rsid w:val="00AF2DD4"/>
    <w:rPr>
      <w:i/>
      <w:iCs/>
    </w:rPr>
  </w:style>
  <w:style w:type="table" w:styleId="GridTable1Light-Accent4">
    <w:name w:val="Grid Table 1 Light Accent 4"/>
    <w:basedOn w:val="TableNormal"/>
    <w:uiPriority w:val="46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AF2DD4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lang w:val="en-GB" w:eastAsia="en-GB"/>
      <w14:ligatures w14:val="none"/>
    </w:rPr>
  </w:style>
  <w:style w:type="character" w:customStyle="1" w:styleId="MenoNoResolvida1">
    <w:name w:val="Menção Não Resolvida1"/>
    <w:basedOn w:val="DefaultParagraphFont"/>
    <w:uiPriority w:val="99"/>
    <w:semiHidden/>
    <w:unhideWhenUsed/>
    <w:rsid w:val="00AF2DD4"/>
    <w:rPr>
      <w:color w:val="605E5C"/>
      <w:shd w:val="clear" w:color="auto" w:fill="E1DFDD"/>
    </w:rPr>
  </w:style>
  <w:style w:type="table" w:styleId="GridTable4-Accent3">
    <w:name w:val="Grid Table 4 Accent 3"/>
    <w:basedOn w:val="TableNormal"/>
    <w:uiPriority w:val="49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3">
    <w:name w:val="List Table 3"/>
    <w:basedOn w:val="TableNormal"/>
    <w:uiPriority w:val="48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000000" w:themeFill="text1"/>
      </w:tcPr>
    </w:tblStylePr>
    <w:tblStylePr w:type="lastRow">
      <w:rPr>
        <w:rFonts w:asciiTheme="minorHAnsi" w:hAnsiTheme="minorHAnsi"/>
        <w:b w:val="0"/>
        <w:bCs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 w:val="0"/>
        <w:bCs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lastCol">
      <w:rPr>
        <w:rFonts w:asciiTheme="minorHAnsi" w:hAnsiTheme="minorHAnsi"/>
        <w:b w:val="0"/>
        <w:bCs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ubtleReference">
    <w:name w:val="Subtle Reference"/>
    <w:basedOn w:val="DefaultParagraphFont"/>
    <w:uiPriority w:val="31"/>
    <w:qFormat/>
    <w:rsid w:val="00AF2DD4"/>
    <w:rPr>
      <w:smallCaps/>
      <w:color w:val="5A5A5A" w:themeColor="text1" w:themeTint="A5"/>
    </w:rPr>
  </w:style>
  <w:style w:type="table" w:styleId="ListTable4">
    <w:name w:val="List Table 4"/>
    <w:aliases w:val="PREVENTABLE TABLE STYLE"/>
    <w:basedOn w:val="TableNormal"/>
    <w:uiPriority w:val="49"/>
    <w:rsid w:val="00AF2DD4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rsid w:val="00AF2DD4"/>
    <w:pPr>
      <w:spacing w:after="0" w:line="240" w:lineRule="auto"/>
      <w:jc w:val="both"/>
    </w:pPr>
    <w:rPr>
      <w:rFonts w:ascii="Arial" w:eastAsia="Arial" w:hAnsi="Arial" w:cs="Arial"/>
      <w:color w:val="FFFFFF" w:themeColor="background1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1">
    <w:name w:val="List Table 3 Accent 1"/>
    <w:aliases w:val="PREVENTABLE"/>
    <w:basedOn w:val="TableNormal"/>
    <w:uiPriority w:val="48"/>
    <w:rsid w:val="00AF2DD4"/>
    <w:pPr>
      <w:spacing w:before="120" w:after="12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F2DD4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points Char"/>
    <w:basedOn w:val="DefaultParagraphFont"/>
    <w:link w:val="ListParagraph"/>
    <w:uiPriority w:val="34"/>
    <w:rsid w:val="00AF2DD4"/>
    <w:rPr>
      <w:rFonts w:ascii="Arial" w:eastAsia="Arial" w:hAnsi="Arial" w:cs="Arial"/>
      <w:kern w:val="0"/>
      <w:sz w:val="22"/>
      <w:szCs w:val="22"/>
      <w:lang w:val="en-GB" w:eastAsia="pt-PT"/>
      <w14:ligatures w14:val="none"/>
    </w:rPr>
  </w:style>
  <w:style w:type="numbering" w:customStyle="1" w:styleId="Listaatual1">
    <w:name w:val="Lista atual1"/>
    <w:uiPriority w:val="99"/>
    <w:rsid w:val="00AF2DD4"/>
  </w:style>
  <w:style w:type="numbering" w:customStyle="1" w:styleId="Listaatual2">
    <w:name w:val="Lista atual2"/>
    <w:uiPriority w:val="99"/>
    <w:rsid w:val="00AF2DD4"/>
  </w:style>
  <w:style w:type="character" w:customStyle="1" w:styleId="Bodytext1">
    <w:name w:val="Body text|1_"/>
    <w:basedOn w:val="DefaultParagraphFont"/>
    <w:link w:val="Bodytext10"/>
    <w:rsid w:val="00AF2DD4"/>
    <w:rPr>
      <w:rFonts w:ascii="Arial" w:eastAsia="Arial" w:hAnsi="Arial" w:cs="Arial"/>
    </w:rPr>
  </w:style>
  <w:style w:type="paragraph" w:customStyle="1" w:styleId="Bodytext10">
    <w:name w:val="Body text|1"/>
    <w:basedOn w:val="Normal"/>
    <w:link w:val="Bodytext1"/>
    <w:rsid w:val="00AF2DD4"/>
    <w:pPr>
      <w:widowControl w:val="0"/>
      <w:spacing w:line="360" w:lineRule="auto"/>
      <w:jc w:val="left"/>
    </w:pPr>
    <w:rPr>
      <w:kern w:val="2"/>
      <w:sz w:val="24"/>
      <w:szCs w:val="24"/>
      <w:lang w:val="en-US" w:eastAsia="en-US"/>
      <w14:ligatures w14:val="standardContextual"/>
    </w:rPr>
  </w:style>
  <w:style w:type="character" w:customStyle="1" w:styleId="Heading31">
    <w:name w:val="Heading #3|1_"/>
    <w:basedOn w:val="DefaultParagraphFont"/>
    <w:link w:val="Heading310"/>
    <w:rsid w:val="00AF2DD4"/>
    <w:rPr>
      <w:rFonts w:ascii="Arial" w:eastAsia="Arial" w:hAnsi="Arial" w:cs="Arial"/>
      <w:b/>
    </w:rPr>
  </w:style>
  <w:style w:type="paragraph" w:customStyle="1" w:styleId="Heading310">
    <w:name w:val="Heading #3|1"/>
    <w:basedOn w:val="Normal"/>
    <w:link w:val="Heading31"/>
    <w:rsid w:val="00AF2DD4"/>
    <w:pPr>
      <w:widowControl w:val="0"/>
      <w:spacing w:after="50" w:line="360" w:lineRule="auto"/>
      <w:ind w:firstLine="380"/>
      <w:jc w:val="left"/>
      <w:outlineLvl w:val="2"/>
    </w:pPr>
    <w:rPr>
      <w:b/>
      <w:kern w:val="2"/>
      <w:sz w:val="24"/>
      <w:szCs w:val="24"/>
      <w:lang w:val="en-US" w:eastAsia="en-US"/>
      <w14:ligatures w14:val="standardContextual"/>
    </w:rPr>
  </w:style>
  <w:style w:type="paragraph" w:customStyle="1" w:styleId="bodytext100">
    <w:name w:val="bodytext10"/>
    <w:basedOn w:val="Normal"/>
    <w:rsid w:val="00AF2DD4"/>
    <w:pPr>
      <w:spacing w:before="100" w:beforeAutospacing="1" w:after="100" w:afterAutospacing="1"/>
      <w:jc w:val="left"/>
    </w:pPr>
    <w:rPr>
      <w:rFonts w:ascii="Times New Roman" w:hAnsi="Times New Roman"/>
      <w:sz w:val="24"/>
      <w:lang w:val="pt-PT"/>
    </w:rPr>
  </w:style>
  <w:style w:type="character" w:customStyle="1" w:styleId="bodytext11">
    <w:name w:val="bodytext1"/>
    <w:basedOn w:val="DefaultParagraphFont"/>
    <w:rsid w:val="00AF2DD4"/>
  </w:style>
  <w:style w:type="paragraph" w:styleId="TOC4">
    <w:name w:val="toc 4"/>
    <w:basedOn w:val="Normal"/>
    <w:next w:val="Normal"/>
    <w:autoRedefine/>
    <w:uiPriority w:val="39"/>
    <w:unhideWhenUsed/>
    <w:rsid w:val="00AF2DD4"/>
    <w:pPr>
      <w:spacing w:after="100" w:line="278" w:lineRule="auto"/>
      <w:ind w:left="720"/>
      <w:jc w:val="left"/>
    </w:pPr>
    <w:rPr>
      <w:rFonts w:eastAsiaTheme="minorEastAsia" w:cstheme="minorBidi"/>
      <w:kern w:val="2"/>
      <w:sz w:val="24"/>
      <w:lang w:val="pt-PT"/>
    </w:rPr>
  </w:style>
  <w:style w:type="paragraph" w:styleId="TOC5">
    <w:name w:val="toc 5"/>
    <w:basedOn w:val="Normal"/>
    <w:next w:val="Normal"/>
    <w:autoRedefine/>
    <w:uiPriority w:val="39"/>
    <w:unhideWhenUsed/>
    <w:rsid w:val="00AF2DD4"/>
    <w:pPr>
      <w:spacing w:after="100" w:line="278" w:lineRule="auto"/>
      <w:ind w:left="960"/>
      <w:jc w:val="left"/>
    </w:pPr>
    <w:rPr>
      <w:rFonts w:eastAsiaTheme="minorEastAsia" w:cstheme="minorBidi"/>
      <w:kern w:val="2"/>
      <w:sz w:val="24"/>
      <w:lang w:val="pt-PT"/>
    </w:rPr>
  </w:style>
  <w:style w:type="paragraph" w:styleId="TOC6">
    <w:name w:val="toc 6"/>
    <w:basedOn w:val="Normal"/>
    <w:next w:val="Normal"/>
    <w:autoRedefine/>
    <w:uiPriority w:val="39"/>
    <w:unhideWhenUsed/>
    <w:rsid w:val="00AF2DD4"/>
    <w:pPr>
      <w:spacing w:after="100" w:line="278" w:lineRule="auto"/>
      <w:ind w:left="1200"/>
      <w:jc w:val="left"/>
    </w:pPr>
    <w:rPr>
      <w:rFonts w:eastAsiaTheme="minorEastAsia" w:cstheme="minorBidi"/>
      <w:kern w:val="2"/>
      <w:sz w:val="24"/>
      <w:lang w:val="pt-PT"/>
    </w:rPr>
  </w:style>
  <w:style w:type="paragraph" w:styleId="TOC7">
    <w:name w:val="toc 7"/>
    <w:basedOn w:val="Normal"/>
    <w:next w:val="Normal"/>
    <w:autoRedefine/>
    <w:uiPriority w:val="39"/>
    <w:unhideWhenUsed/>
    <w:rsid w:val="00AF2DD4"/>
    <w:pPr>
      <w:spacing w:after="100" w:line="278" w:lineRule="auto"/>
      <w:ind w:left="1440"/>
      <w:jc w:val="left"/>
    </w:pPr>
    <w:rPr>
      <w:rFonts w:eastAsiaTheme="minorEastAsia" w:cstheme="minorBidi"/>
      <w:kern w:val="2"/>
      <w:sz w:val="24"/>
      <w:lang w:val="pt-PT"/>
    </w:rPr>
  </w:style>
  <w:style w:type="paragraph" w:styleId="TOC8">
    <w:name w:val="toc 8"/>
    <w:basedOn w:val="Normal"/>
    <w:next w:val="Normal"/>
    <w:autoRedefine/>
    <w:uiPriority w:val="39"/>
    <w:unhideWhenUsed/>
    <w:rsid w:val="00AF2DD4"/>
    <w:pPr>
      <w:spacing w:after="100" w:line="278" w:lineRule="auto"/>
      <w:ind w:left="1680"/>
      <w:jc w:val="left"/>
    </w:pPr>
    <w:rPr>
      <w:rFonts w:eastAsiaTheme="minorEastAsia" w:cstheme="minorBidi"/>
      <w:kern w:val="2"/>
      <w:sz w:val="24"/>
      <w:lang w:val="pt-PT"/>
    </w:rPr>
  </w:style>
  <w:style w:type="paragraph" w:styleId="TOC9">
    <w:name w:val="toc 9"/>
    <w:basedOn w:val="Normal"/>
    <w:next w:val="Normal"/>
    <w:autoRedefine/>
    <w:uiPriority w:val="39"/>
    <w:unhideWhenUsed/>
    <w:rsid w:val="00AF2DD4"/>
    <w:pPr>
      <w:spacing w:after="100" w:line="278" w:lineRule="auto"/>
      <w:ind w:left="1920"/>
      <w:jc w:val="left"/>
    </w:pPr>
    <w:rPr>
      <w:rFonts w:eastAsiaTheme="minorEastAsia" w:cstheme="minorBidi"/>
      <w:kern w:val="2"/>
      <w:sz w:val="24"/>
      <w:lang w:val="pt-PT"/>
    </w:rPr>
  </w:style>
  <w:style w:type="paragraph" w:customStyle="1" w:styleId="p1">
    <w:name w:val="p1"/>
    <w:basedOn w:val="Normal"/>
    <w:rsid w:val="00AF2DD4"/>
    <w:pPr>
      <w:jc w:val="left"/>
    </w:pPr>
    <w:rPr>
      <w:color w:val="000000"/>
      <w:sz w:val="17"/>
      <w:szCs w:val="17"/>
      <w:lang w:val="pt-PT"/>
    </w:rPr>
  </w:style>
  <w:style w:type="table" w:customStyle="1" w:styleId="PREVENTABLE1">
    <w:name w:val="PREVENTABLE1"/>
    <w:basedOn w:val="TableNormal"/>
    <w:next w:val="ListTable3-Accent1"/>
    <w:uiPriority w:val="48"/>
    <w:rsid w:val="00AF2DD4"/>
    <w:pPr>
      <w:spacing w:before="120" w:after="12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407374"/>
        <w:left w:val="single" w:sz="4" w:space="0" w:color="407374"/>
        <w:bottom w:val="single" w:sz="4" w:space="0" w:color="407374"/>
        <w:right w:val="single" w:sz="4" w:space="0" w:color="407374"/>
        <w:insideH w:val="single" w:sz="4" w:space="0" w:color="407374"/>
        <w:insideV w:val="single" w:sz="4" w:space="0" w:color="40737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07374"/>
          <w:left w:val="single" w:sz="4" w:space="0" w:color="407374"/>
          <w:bottom w:val="single" w:sz="4" w:space="0" w:color="407374"/>
          <w:right w:val="single" w:sz="4" w:space="0" w:color="407374"/>
          <w:insideH w:val="single" w:sz="4" w:space="0" w:color="407374"/>
          <w:insideV w:val="single" w:sz="4" w:space="0" w:color="407374"/>
        </w:tcBorders>
        <w:shd w:val="clear" w:color="auto" w:fill="407374"/>
      </w:tcPr>
    </w:tblStylePr>
    <w:tblStylePr w:type="lastRow">
      <w:rPr>
        <w:b/>
        <w:bCs/>
      </w:rPr>
      <w:tblPr/>
      <w:tcPr>
        <w:tcBorders>
          <w:top w:val="double" w:sz="4" w:space="0" w:color="40737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07374"/>
          <w:right w:val="single" w:sz="4" w:space="0" w:color="407374"/>
        </w:tcBorders>
      </w:tcPr>
    </w:tblStylePr>
    <w:tblStylePr w:type="band1Horz">
      <w:tblPr/>
      <w:tcPr>
        <w:tcBorders>
          <w:top w:val="single" w:sz="4" w:space="0" w:color="407374"/>
          <w:bottom w:val="single" w:sz="4" w:space="0" w:color="40737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7374"/>
          <w:left w:val="nil"/>
        </w:tcBorders>
      </w:tcPr>
    </w:tblStylePr>
    <w:tblStylePr w:type="swCell">
      <w:tblPr/>
      <w:tcPr>
        <w:tcBorders>
          <w:top w:val="double" w:sz="4" w:space="0" w:color="407374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AF2DD4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F2DD4"/>
    <w:pPr>
      <w:spacing w:before="240" w:after="240"/>
      <w:outlineLvl w:val="9"/>
    </w:pPr>
    <w:rPr>
      <w:rFonts w:eastAsia="Arial" w:cs="Arial"/>
      <w:sz w:val="32"/>
      <w:szCs w:val="32"/>
    </w:rPr>
  </w:style>
  <w:style w:type="character" w:customStyle="1" w:styleId="Hyperlink1">
    <w:name w:val="Hyperlink1"/>
    <w:basedOn w:val="DefaultParagraphFont"/>
    <w:uiPriority w:val="99"/>
    <w:unhideWhenUsed/>
    <w:rsid w:val="00AF2DD4"/>
    <w:rPr>
      <w:color w:val="0000FF"/>
      <w:u w:val="single"/>
    </w:rPr>
  </w:style>
  <w:style w:type="character" w:customStyle="1" w:styleId="Legendadatabela1">
    <w:name w:val="Legenda da tabela1"/>
    <w:basedOn w:val="DefaultParagraphFont"/>
    <w:uiPriority w:val="33"/>
    <w:rsid w:val="00AF2DD4"/>
    <w:rPr>
      <w:rFonts w:ascii="Arial" w:hAnsi="Arial"/>
      <w:b/>
      <w:bCs/>
      <w:i w:val="0"/>
      <w:iCs/>
      <w:color w:val="541D4B"/>
      <w:spacing w:val="5"/>
      <w:sz w:val="18"/>
    </w:rPr>
  </w:style>
  <w:style w:type="character" w:customStyle="1" w:styleId="SubtleEmphasis1">
    <w:name w:val="Subtle Emphasis1"/>
    <w:basedOn w:val="DefaultParagraphFont"/>
    <w:uiPriority w:val="19"/>
    <w:rsid w:val="00AF2DD4"/>
    <w:rPr>
      <w:i/>
      <w:iCs/>
      <w:color w:val="94C3C4"/>
    </w:rPr>
  </w:style>
  <w:style w:type="table" w:customStyle="1" w:styleId="LightList1">
    <w:name w:val="Light List1"/>
    <w:basedOn w:val="TableNormal"/>
    <w:next w:val="LightList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8" w:space="0" w:color="A6A6A6"/>
        <w:left w:val="single" w:sz="8" w:space="0" w:color="A6A6A6"/>
        <w:bottom w:val="single" w:sz="8" w:space="0" w:color="A6A6A6"/>
        <w:right w:val="single" w:sz="8" w:space="0" w:color="A6A6A6"/>
        <w:insideH w:val="single" w:sz="8" w:space="0" w:color="A6A6A6"/>
        <w:insideV w:val="single" w:sz="8" w:space="0" w:color="A6A6A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073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7374"/>
          <w:left w:val="single" w:sz="8" w:space="0" w:color="407374"/>
          <w:bottom w:val="single" w:sz="8" w:space="0" w:color="407374"/>
          <w:right w:val="single" w:sz="8" w:space="0" w:color="4073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7374"/>
          <w:left w:val="single" w:sz="8" w:space="0" w:color="407374"/>
          <w:bottom w:val="single" w:sz="8" w:space="0" w:color="407374"/>
          <w:right w:val="single" w:sz="8" w:space="0" w:color="407374"/>
        </w:tcBorders>
      </w:tcPr>
    </w:tblStylePr>
    <w:tblStylePr w:type="band1Horz">
      <w:tblPr/>
      <w:tcPr>
        <w:tcBorders>
          <w:top w:val="single" w:sz="8" w:space="0" w:color="407374"/>
          <w:left w:val="single" w:sz="8" w:space="0" w:color="407374"/>
          <w:bottom w:val="single" w:sz="8" w:space="0" w:color="407374"/>
          <w:right w:val="single" w:sz="8" w:space="0" w:color="407374"/>
        </w:tcBorders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DBC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BCC9"/>
          <w:left w:val="single" w:sz="8" w:space="0" w:color="7DBCC9"/>
          <w:bottom w:val="single" w:sz="8" w:space="0" w:color="7DBCC9"/>
          <w:right w:val="single" w:sz="8" w:space="0" w:color="7DBC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BCC9"/>
          <w:left w:val="single" w:sz="8" w:space="0" w:color="7DBCC9"/>
          <w:bottom w:val="single" w:sz="8" w:space="0" w:color="7DBCC9"/>
          <w:right w:val="single" w:sz="8" w:space="0" w:color="7DBCC9"/>
        </w:tcBorders>
      </w:tcPr>
    </w:tblStylePr>
    <w:tblStylePr w:type="band1Horz">
      <w:tblPr/>
      <w:tcPr>
        <w:tcBorders>
          <w:top w:val="single" w:sz="8" w:space="0" w:color="7DBCC9"/>
          <w:left w:val="single" w:sz="8" w:space="0" w:color="7DBCC9"/>
          <w:bottom w:val="single" w:sz="8" w:space="0" w:color="7DBCC9"/>
          <w:right w:val="single" w:sz="8" w:space="0" w:color="7DBCC9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  <w:insideH w:val="single" w:sz="8" w:space="0" w:color="808080"/>
        <w:insideV w:val="single" w:sz="8" w:space="0" w:color="80808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073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7374"/>
          <w:left w:val="single" w:sz="8" w:space="0" w:color="407374"/>
          <w:bottom w:val="single" w:sz="8" w:space="0" w:color="407374"/>
          <w:right w:val="single" w:sz="8" w:space="0" w:color="4073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7374"/>
          <w:left w:val="single" w:sz="8" w:space="0" w:color="407374"/>
          <w:bottom w:val="single" w:sz="8" w:space="0" w:color="407374"/>
          <w:right w:val="single" w:sz="8" w:space="0" w:color="407374"/>
        </w:tcBorders>
      </w:tcPr>
    </w:tblStylePr>
    <w:tblStylePr w:type="band1Horz">
      <w:tblPr/>
      <w:tcPr>
        <w:tcBorders>
          <w:top w:val="single" w:sz="8" w:space="0" w:color="407374"/>
          <w:left w:val="single" w:sz="8" w:space="0" w:color="407374"/>
          <w:bottom w:val="single" w:sz="8" w:space="0" w:color="407374"/>
          <w:right w:val="single" w:sz="8" w:space="0" w:color="407374"/>
        </w:tcBorders>
      </w:tcPr>
    </w:tblStylePr>
    <w:tblStylePr w:type="swCell">
      <w:rPr>
        <w:u w:val="none"/>
      </w:r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ED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DEE0"/>
          <w:left w:val="single" w:sz="8" w:space="0" w:color="DEDEE0"/>
          <w:bottom w:val="single" w:sz="8" w:space="0" w:color="DEDEE0"/>
          <w:right w:val="single" w:sz="8" w:space="0" w:color="DEDEE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DEE0"/>
          <w:left w:val="single" w:sz="8" w:space="0" w:color="DEDEE0"/>
          <w:bottom w:val="single" w:sz="8" w:space="0" w:color="DEDEE0"/>
          <w:right w:val="single" w:sz="8" w:space="0" w:color="DEDEE0"/>
        </w:tcBorders>
      </w:tcPr>
    </w:tblStylePr>
    <w:tblStylePr w:type="band1Horz">
      <w:tblPr/>
      <w:tcPr>
        <w:tcBorders>
          <w:top w:val="single" w:sz="8" w:space="0" w:color="DEDEE0"/>
          <w:left w:val="single" w:sz="8" w:space="0" w:color="DEDEE0"/>
          <w:bottom w:val="single" w:sz="8" w:space="0" w:color="DEDEE0"/>
          <w:right w:val="single" w:sz="8" w:space="0" w:color="DEDEE0"/>
        </w:tcBorders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F2DD4"/>
    <w:rPr>
      <w:color w:val="548DD4"/>
      <w:u w:val="single"/>
    </w:rPr>
  </w:style>
  <w:style w:type="table" w:customStyle="1" w:styleId="GridTable1Light-Accent41">
    <w:name w:val="Grid Table 1 Light - Accent 41"/>
    <w:basedOn w:val="TableNormal"/>
    <w:next w:val="GridTable1Light-Accent4"/>
    <w:uiPriority w:val="46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F9EEF7"/>
        <w:left w:val="single" w:sz="4" w:space="0" w:color="F9EEF7"/>
        <w:bottom w:val="single" w:sz="4" w:space="0" w:color="F9EEF7"/>
        <w:right w:val="single" w:sz="4" w:space="0" w:color="F9EEF7"/>
        <w:insideH w:val="single" w:sz="4" w:space="0" w:color="F9EEF7"/>
        <w:insideV w:val="single" w:sz="4" w:space="0" w:color="F9EEF7"/>
      </w:tblBorders>
    </w:tblPr>
    <w:tblStylePr w:type="firstRow">
      <w:rPr>
        <w:b/>
        <w:bCs/>
      </w:rPr>
      <w:tblPr/>
      <w:tcPr>
        <w:tcBorders>
          <w:bottom w:val="single" w:sz="12" w:space="0" w:color="F6E6F4"/>
        </w:tcBorders>
      </w:tcPr>
    </w:tblStylePr>
    <w:tblStylePr w:type="lastRow">
      <w:rPr>
        <w:b/>
        <w:bCs/>
      </w:rPr>
      <w:tblPr/>
      <w:tcPr>
        <w:tcBorders>
          <w:top w:val="double" w:sz="2" w:space="0" w:color="F6E6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E5B3DE"/>
        <w:left w:val="single" w:sz="4" w:space="0" w:color="E5B3DE"/>
        <w:bottom w:val="single" w:sz="4" w:space="0" w:color="E5B3DE"/>
        <w:right w:val="single" w:sz="4" w:space="0" w:color="E5B3DE"/>
        <w:insideH w:val="single" w:sz="4" w:space="0" w:color="E5B3DE"/>
        <w:insideV w:val="single" w:sz="4" w:space="0" w:color="E5B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582C9"/>
          <w:left w:val="single" w:sz="4" w:space="0" w:color="D582C9"/>
          <w:bottom w:val="single" w:sz="4" w:space="0" w:color="D582C9"/>
          <w:right w:val="single" w:sz="4" w:space="0" w:color="D582C9"/>
          <w:insideH w:val="nil"/>
          <w:insideV w:val="nil"/>
        </w:tcBorders>
        <w:shd w:val="clear" w:color="auto" w:fill="D582C9"/>
      </w:tcPr>
    </w:tblStylePr>
    <w:tblStylePr w:type="lastRow">
      <w:rPr>
        <w:b/>
        <w:bCs/>
      </w:rPr>
      <w:tblPr/>
      <w:tcPr>
        <w:tcBorders>
          <w:top w:val="double" w:sz="4" w:space="0" w:color="D582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F4"/>
      </w:tcPr>
    </w:tblStylePr>
    <w:tblStylePr w:type="band1Horz">
      <w:tblPr/>
      <w:tcPr>
        <w:shd w:val="clear" w:color="auto" w:fill="F6E5F4"/>
      </w:tcPr>
    </w:tblStylePr>
  </w:style>
  <w:style w:type="table" w:customStyle="1" w:styleId="ListTable31">
    <w:name w:val="List Table 31"/>
    <w:basedOn w:val="TableNormal"/>
    <w:next w:val="ListTable3"/>
    <w:uiPriority w:val="48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407374"/>
        <w:left w:val="single" w:sz="4" w:space="0" w:color="407374"/>
        <w:bottom w:val="single" w:sz="4" w:space="0" w:color="407374"/>
        <w:right w:val="single" w:sz="4" w:space="0" w:color="407374"/>
        <w:insideH w:val="single" w:sz="4" w:space="0" w:color="407374"/>
        <w:insideV w:val="single" w:sz="4" w:space="0" w:color="407374"/>
      </w:tblBorders>
    </w:tblPr>
    <w:tcPr>
      <w:shd w:val="clear" w:color="auto" w:fill="FFFFFF"/>
      <w:vAlign w:val="center"/>
    </w:tcPr>
    <w:tblStylePr w:type="firstRow">
      <w:pPr>
        <w:jc w:val="center"/>
      </w:pPr>
      <w:rPr>
        <w:rFonts w:ascii="Arial" w:hAnsi="Arial"/>
        <w:b/>
        <w:bCs/>
        <w:color w:val="FFFFFF"/>
        <w:sz w:val="22"/>
      </w:rPr>
      <w:tblPr/>
      <w:tcPr>
        <w:shd w:val="clear" w:color="auto" w:fill="407374"/>
      </w:tcPr>
    </w:tblStylePr>
    <w:tblStylePr w:type="lastRow">
      <w:rPr>
        <w:rFonts w:ascii="Arial" w:hAnsi="Arial"/>
        <w:b w:val="0"/>
        <w:bCs/>
        <w:sz w:val="22"/>
      </w:rPr>
      <w:tblPr/>
      <w:tcPr>
        <w:tcBorders>
          <w:top w:val="single" w:sz="4" w:space="0" w:color="407374"/>
          <w:left w:val="single" w:sz="4" w:space="0" w:color="407374"/>
          <w:bottom w:val="single" w:sz="4" w:space="0" w:color="407374"/>
          <w:right w:val="single" w:sz="4" w:space="0" w:color="407374"/>
          <w:insideH w:val="single" w:sz="4" w:space="0" w:color="407374"/>
          <w:insideV w:val="single" w:sz="4" w:space="0" w:color="407374"/>
          <w:tl2br w:val="nil"/>
          <w:tr2bl w:val="nil"/>
        </w:tcBorders>
        <w:shd w:val="clear" w:color="auto" w:fill="FFFFFF"/>
      </w:tcPr>
    </w:tblStylePr>
    <w:tblStylePr w:type="firstCol">
      <w:rPr>
        <w:rFonts w:ascii="Arial" w:hAnsi="Arial"/>
        <w:b w:val="0"/>
        <w:bCs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/>
      </w:tcPr>
    </w:tblStylePr>
    <w:tblStylePr w:type="lastCol">
      <w:rPr>
        <w:rFonts w:ascii="Arial" w:hAnsi="Arial"/>
        <w:b w:val="0"/>
        <w:bCs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/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7374"/>
          <w:left w:val="nil"/>
        </w:tcBorders>
      </w:tcPr>
    </w:tblStylePr>
    <w:tblStylePr w:type="swCell">
      <w:tblPr/>
      <w:tcPr>
        <w:tcBorders>
          <w:top w:val="double" w:sz="4" w:space="0" w:color="407374"/>
          <w:right w:val="nil"/>
        </w:tcBorders>
      </w:tcPr>
    </w:tblStylePr>
  </w:style>
  <w:style w:type="table" w:customStyle="1" w:styleId="ListTable21">
    <w:name w:val="List Table 21"/>
    <w:basedOn w:val="TableNormal"/>
    <w:next w:val="ListTable2"/>
    <w:uiPriority w:val="47"/>
    <w:rsid w:val="00AF2DD4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7FB7B8"/>
        <w:bottom w:val="single" w:sz="4" w:space="0" w:color="7FB7B8"/>
        <w:insideH w:val="single" w:sz="4" w:space="0" w:color="7FB7B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7E7"/>
      </w:tcPr>
    </w:tblStylePr>
    <w:tblStylePr w:type="band1Horz">
      <w:tblPr/>
      <w:tcPr>
        <w:shd w:val="clear" w:color="auto" w:fill="D4E7E7"/>
      </w:tcPr>
    </w:tblStylePr>
  </w:style>
  <w:style w:type="character" w:customStyle="1" w:styleId="SubtleReference1">
    <w:name w:val="Subtle Reference1"/>
    <w:basedOn w:val="DefaultParagraphFont"/>
    <w:uiPriority w:val="31"/>
    <w:rsid w:val="00AF2DD4"/>
    <w:rPr>
      <w:smallCaps/>
      <w:color w:val="75B1B3"/>
    </w:rPr>
  </w:style>
  <w:style w:type="table" w:customStyle="1" w:styleId="PREVENTABLETABLESTYLE1">
    <w:name w:val="PREVENTABLE TABLE STYLE1"/>
    <w:basedOn w:val="TableNormal"/>
    <w:next w:val="ListTable4"/>
    <w:uiPriority w:val="49"/>
    <w:rsid w:val="00AF2DD4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7FB7B8"/>
        <w:left w:val="single" w:sz="4" w:space="0" w:color="7FB7B8"/>
        <w:bottom w:val="single" w:sz="4" w:space="0" w:color="7FB7B8"/>
        <w:right w:val="single" w:sz="4" w:space="0" w:color="7FB7B8"/>
        <w:insideH w:val="single" w:sz="4" w:space="0" w:color="7FB7B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07374"/>
          <w:left w:val="single" w:sz="4" w:space="0" w:color="407374"/>
          <w:bottom w:val="single" w:sz="4" w:space="0" w:color="407374"/>
          <w:right w:val="single" w:sz="4" w:space="0" w:color="407374"/>
          <w:insideH w:val="nil"/>
        </w:tcBorders>
        <w:shd w:val="clear" w:color="auto" w:fill="407374"/>
      </w:tcPr>
    </w:tblStylePr>
    <w:tblStylePr w:type="lastRow">
      <w:rPr>
        <w:b/>
        <w:bCs/>
      </w:rPr>
      <w:tblPr/>
      <w:tcPr>
        <w:tcBorders>
          <w:top w:val="double" w:sz="4" w:space="0" w:color="7FB7B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7E7"/>
      </w:tcPr>
    </w:tblStylePr>
    <w:tblStylePr w:type="band1Horz">
      <w:tblPr/>
      <w:tcPr>
        <w:shd w:val="clear" w:color="auto" w:fill="D4E7E7"/>
      </w:tcPr>
    </w:tblStylePr>
  </w:style>
  <w:style w:type="table" w:customStyle="1" w:styleId="ListTable5Dark2">
    <w:name w:val="List Table 5 Dark2"/>
    <w:basedOn w:val="TableNormal"/>
    <w:next w:val="ListTable5Dark"/>
    <w:uiPriority w:val="50"/>
    <w:rsid w:val="00AF2DD4"/>
    <w:pPr>
      <w:spacing w:after="0" w:line="240" w:lineRule="auto"/>
      <w:jc w:val="both"/>
    </w:pPr>
    <w:rPr>
      <w:rFonts w:ascii="Arial" w:eastAsia="Arial" w:hAnsi="Arial" w:cs="Arial"/>
      <w:color w:val="FFFFFF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24" w:space="0" w:color="407374"/>
        <w:left w:val="single" w:sz="24" w:space="0" w:color="407374"/>
        <w:bottom w:val="single" w:sz="24" w:space="0" w:color="407374"/>
        <w:right w:val="single" w:sz="24" w:space="0" w:color="407374"/>
      </w:tblBorders>
    </w:tblPr>
    <w:tcPr>
      <w:shd w:val="clear" w:color="auto" w:fill="40737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PREVENTABLE2">
    <w:name w:val="PREVENTABLE2"/>
    <w:basedOn w:val="TableNormal"/>
    <w:next w:val="ListTable3-Accent1"/>
    <w:uiPriority w:val="48"/>
    <w:rsid w:val="00AF2DD4"/>
    <w:pPr>
      <w:spacing w:before="120" w:after="120" w:line="240" w:lineRule="auto"/>
      <w:jc w:val="both"/>
    </w:pPr>
    <w:rPr>
      <w:rFonts w:ascii="Arial" w:eastAsia="Arial" w:hAnsi="Arial" w:cs="Arial"/>
      <w:kern w:val="0"/>
      <w:sz w:val="22"/>
      <w:szCs w:val="22"/>
      <w:lang w:val="en-GB" w:eastAsia="pt-PT"/>
      <w14:ligatures w14:val="none"/>
    </w:rPr>
    <w:tblPr>
      <w:tblStyleRowBandSize w:val="1"/>
      <w:tblStyleColBandSize w:val="1"/>
      <w:tblBorders>
        <w:top w:val="single" w:sz="4" w:space="0" w:color="407374"/>
        <w:left w:val="single" w:sz="4" w:space="0" w:color="407374"/>
        <w:bottom w:val="single" w:sz="4" w:space="0" w:color="407374"/>
        <w:right w:val="single" w:sz="4" w:space="0" w:color="407374"/>
        <w:insideH w:val="single" w:sz="4" w:space="0" w:color="407374"/>
        <w:insideV w:val="single" w:sz="4" w:space="0" w:color="40737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07374"/>
          <w:left w:val="single" w:sz="4" w:space="0" w:color="407374"/>
          <w:bottom w:val="single" w:sz="4" w:space="0" w:color="407374"/>
          <w:right w:val="single" w:sz="4" w:space="0" w:color="407374"/>
          <w:insideH w:val="single" w:sz="4" w:space="0" w:color="407374"/>
          <w:insideV w:val="single" w:sz="4" w:space="0" w:color="407374"/>
        </w:tcBorders>
        <w:shd w:val="clear" w:color="auto" w:fill="407374"/>
      </w:tcPr>
    </w:tblStylePr>
    <w:tblStylePr w:type="lastRow">
      <w:rPr>
        <w:b/>
        <w:bCs/>
      </w:rPr>
      <w:tblPr/>
      <w:tcPr>
        <w:tcBorders>
          <w:top w:val="double" w:sz="4" w:space="0" w:color="40737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07374"/>
          <w:right w:val="single" w:sz="4" w:space="0" w:color="407374"/>
        </w:tcBorders>
      </w:tcPr>
    </w:tblStylePr>
    <w:tblStylePr w:type="band1Horz">
      <w:tblPr/>
      <w:tcPr>
        <w:tcBorders>
          <w:top w:val="single" w:sz="4" w:space="0" w:color="407374"/>
          <w:bottom w:val="single" w:sz="4" w:space="0" w:color="40737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7374"/>
          <w:left w:val="nil"/>
        </w:tcBorders>
      </w:tcPr>
    </w:tblStylePr>
    <w:tblStylePr w:type="swCell">
      <w:tblPr/>
      <w:tcPr>
        <w:tcBorders>
          <w:top w:val="double" w:sz="4" w:space="0" w:color="407374"/>
          <w:right w:val="nil"/>
        </w:tcBorders>
      </w:tcPr>
    </w:tblStylePr>
  </w:style>
  <w:style w:type="paragraph" w:customStyle="1" w:styleId="TOC41">
    <w:name w:val="TOC 41"/>
    <w:basedOn w:val="Normal"/>
    <w:next w:val="Normal"/>
    <w:autoRedefine/>
    <w:uiPriority w:val="39"/>
    <w:unhideWhenUsed/>
    <w:rsid w:val="00AF2DD4"/>
    <w:pPr>
      <w:spacing w:after="100" w:line="278" w:lineRule="auto"/>
      <w:ind w:left="720"/>
      <w:jc w:val="left"/>
    </w:pPr>
    <w:rPr>
      <w:rFonts w:cstheme="minorBidi"/>
      <w:kern w:val="2"/>
      <w:sz w:val="24"/>
      <w:lang w:val="pt-PT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AF2DD4"/>
    <w:pPr>
      <w:spacing w:after="100" w:line="278" w:lineRule="auto"/>
      <w:ind w:left="960"/>
      <w:jc w:val="left"/>
    </w:pPr>
    <w:rPr>
      <w:rFonts w:cstheme="minorBidi"/>
      <w:kern w:val="2"/>
      <w:sz w:val="24"/>
      <w:lang w:val="pt-PT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AF2DD4"/>
    <w:pPr>
      <w:spacing w:after="100" w:line="278" w:lineRule="auto"/>
      <w:ind w:left="1200"/>
      <w:jc w:val="left"/>
    </w:pPr>
    <w:rPr>
      <w:rFonts w:cstheme="minorBidi"/>
      <w:kern w:val="2"/>
      <w:sz w:val="24"/>
      <w:lang w:val="pt-PT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AF2DD4"/>
    <w:pPr>
      <w:spacing w:after="100" w:line="278" w:lineRule="auto"/>
      <w:ind w:left="1440"/>
      <w:jc w:val="left"/>
    </w:pPr>
    <w:rPr>
      <w:rFonts w:cstheme="minorBidi"/>
      <w:kern w:val="2"/>
      <w:sz w:val="24"/>
      <w:lang w:val="pt-PT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AF2DD4"/>
    <w:pPr>
      <w:spacing w:after="100" w:line="278" w:lineRule="auto"/>
      <w:ind w:left="1680"/>
      <w:jc w:val="left"/>
    </w:pPr>
    <w:rPr>
      <w:rFonts w:cstheme="minorBidi"/>
      <w:kern w:val="2"/>
      <w:sz w:val="24"/>
      <w:lang w:val="pt-PT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AF2DD4"/>
    <w:pPr>
      <w:spacing w:after="100" w:line="278" w:lineRule="auto"/>
      <w:ind w:left="1920"/>
      <w:jc w:val="left"/>
    </w:pPr>
    <w:rPr>
      <w:rFonts w:cstheme="minorBidi"/>
      <w:kern w:val="2"/>
      <w:sz w:val="24"/>
      <w:lang w:val="pt-PT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AF2DD4"/>
    <w:pPr>
      <w:spacing w:before="240" w:after="240"/>
      <w:jc w:val="center"/>
    </w:pPr>
    <w:rPr>
      <w:b/>
      <w:i/>
      <w:iCs/>
      <w:color w:val="D582C9"/>
      <w:sz w:val="20"/>
      <w:szCs w:val="18"/>
    </w:rPr>
  </w:style>
  <w:style w:type="character" w:customStyle="1" w:styleId="normaltextrun">
    <w:name w:val="normaltextrun"/>
    <w:basedOn w:val="DefaultParagraphFont"/>
    <w:rsid w:val="00AF2DD4"/>
  </w:style>
  <w:style w:type="character" w:customStyle="1" w:styleId="eop">
    <w:name w:val="eop"/>
    <w:basedOn w:val="DefaultParagraphFont"/>
    <w:rsid w:val="00AF2DD4"/>
  </w:style>
  <w:style w:type="character" w:customStyle="1" w:styleId="selection-contrast">
    <w:name w:val="selection-contrast"/>
    <w:basedOn w:val="DefaultParagraphFont"/>
    <w:rsid w:val="004A637C"/>
  </w:style>
  <w:style w:type="paragraph" w:customStyle="1" w:styleId="ds-markdown-paragraph">
    <w:name w:val="ds-markdown-paragraph"/>
    <w:basedOn w:val="Normal"/>
    <w:rsid w:val="009A303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1014</Words>
  <Characters>6739</Characters>
  <Application>Microsoft Office Word</Application>
  <DocSecurity>0</DocSecurity>
  <Lines>110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Maiara Eliza Moreto</dc:creator>
  <cp:keywords/>
  <dc:description/>
  <cp:lastModifiedBy>Maiara Eliza Moreto</cp:lastModifiedBy>
  <cp:revision>2</cp:revision>
  <dcterms:created xsi:type="dcterms:W3CDTF">2026-06-09T12:09:00Z</dcterms:created>
  <dcterms:modified xsi:type="dcterms:W3CDTF">2026-06-09T12:09:00Z</dcterms:modified>
</cp:coreProperties>
</file>