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9412" w14:textId="25A7B4E4" w:rsidR="68F6AF33" w:rsidRDefault="473FED99" w:rsidP="2FA9E159">
      <w:pPr>
        <w:spacing w:line="480" w:lineRule="auto"/>
        <w:rPr>
          <w:rFonts w:ascii="Times New Roman" w:eastAsia="Times New Roman" w:hAnsi="Times New Roman" w:cs="Times New Roman"/>
          <w:sz w:val="22"/>
          <w:szCs w:val="22"/>
        </w:rPr>
      </w:pPr>
      <w:r w:rsidRPr="2FA9E159">
        <w:rPr>
          <w:rFonts w:ascii="Times New Roman" w:eastAsia="Times New Roman" w:hAnsi="Times New Roman" w:cs="Times New Roman"/>
          <w:sz w:val="22"/>
          <w:szCs w:val="22"/>
        </w:rPr>
        <w:t xml:space="preserve">Additional file 3. </w:t>
      </w:r>
      <w:r w:rsidR="4EE6E767" w:rsidRPr="2FA9E159">
        <w:rPr>
          <w:rFonts w:ascii="Times New Roman" w:eastAsia="Times New Roman" w:hAnsi="Times New Roman" w:cs="Times New Roman"/>
          <w:sz w:val="22"/>
          <w:szCs w:val="22"/>
        </w:rPr>
        <w:t>Cross-country differences</w:t>
      </w:r>
    </w:p>
    <w:p w14:paraId="3BCA4F81" w14:textId="0202923A" w:rsidR="68F6AF33" w:rsidRDefault="5F5BCBAB" w:rsidP="2FA9E159">
      <w:pPr>
        <w:spacing w:before="240" w:after="0" w:line="480" w:lineRule="auto"/>
        <w:rPr>
          <w:rFonts w:ascii="Times New Roman" w:eastAsia="Times New Roman" w:hAnsi="Times New Roman" w:cs="Times New Roman"/>
          <w:sz w:val="22"/>
          <w:szCs w:val="22"/>
        </w:rPr>
      </w:pPr>
      <w:r w:rsidRPr="2FA9E159">
        <w:rPr>
          <w:rFonts w:ascii="Times New Roman" w:eastAsia="Times New Roman" w:hAnsi="Times New Roman" w:cs="Times New Roman"/>
          <w:sz w:val="22"/>
          <w:szCs w:val="22"/>
        </w:rPr>
        <w:t xml:space="preserve">Table S3. Cross-country similarities and differences </w:t>
      </w:r>
      <w:r w:rsidR="4C16748E" w:rsidRPr="2FA9E159">
        <w:rPr>
          <w:rFonts w:ascii="Times New Roman" w:eastAsia="Times New Roman" w:hAnsi="Times New Roman" w:cs="Times New Roman"/>
          <w:sz w:val="22"/>
          <w:szCs w:val="22"/>
        </w:rPr>
        <w:t>per COM-B domain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1339"/>
        <w:gridCol w:w="2000"/>
        <w:gridCol w:w="1615"/>
        <w:gridCol w:w="1994"/>
        <w:gridCol w:w="1670"/>
        <w:gridCol w:w="1860"/>
        <w:gridCol w:w="1754"/>
        <w:gridCol w:w="1706"/>
      </w:tblGrid>
      <w:tr w:rsidR="2FA9E159" w:rsidRPr="00941553" w14:paraId="1B4D4960" w14:textId="77777777" w:rsidTr="00EC0E57">
        <w:trPr>
          <w:trHeight w:val="300"/>
          <w:jc w:val="center"/>
        </w:trPr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BA193" w14:textId="14640871" w:rsidR="2FA9E159" w:rsidRPr="00941553" w:rsidRDefault="2FA9E159" w:rsidP="2FA9E159">
            <w:pPr>
              <w:spacing w:before="240" w:line="4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</w:rPr>
              <w:t>COM-B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AD93F7" w14:textId="317F300D" w:rsidR="2FA9E159" w:rsidRPr="00941553" w:rsidRDefault="2FA9E159" w:rsidP="2FA9E159">
            <w:pPr>
              <w:spacing w:before="240" w:line="4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</w:rPr>
              <w:t>S</w:t>
            </w:r>
            <w:r w:rsidRPr="009415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imilarities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D2AA0E" w14:textId="14719667" w:rsidR="2FA9E159" w:rsidRPr="00941553" w:rsidRDefault="2FA9E159" w:rsidP="2FA9E159">
            <w:pPr>
              <w:spacing w:before="240" w:line="4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</w:rPr>
              <w:t>France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27CBDF" w14:textId="7369F3E0" w:rsidR="2FA9E159" w:rsidRPr="00941553" w:rsidRDefault="2FA9E159" w:rsidP="2FA9E159">
            <w:pPr>
              <w:spacing w:before="240" w:line="4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</w:rPr>
              <w:t>Germany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F028B0" w14:textId="6D96A03B" w:rsidR="2FA9E159" w:rsidRPr="00941553" w:rsidRDefault="2FA9E159" w:rsidP="2FA9E159">
            <w:pPr>
              <w:spacing w:before="240" w:line="4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</w:rPr>
              <w:t>Netherlands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CFC2CA" w14:textId="15D2B1CC" w:rsidR="2FA9E159" w:rsidRPr="00941553" w:rsidRDefault="2FA9E159" w:rsidP="2FA9E159">
            <w:pPr>
              <w:spacing w:before="240" w:line="4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</w:rPr>
              <w:t>Norway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E0BB97" w14:textId="5E5E50FF" w:rsidR="2FA9E159" w:rsidRPr="00941553" w:rsidRDefault="2FA9E159" w:rsidP="2FA9E159">
            <w:pPr>
              <w:spacing w:before="240" w:line="4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</w:rPr>
              <w:t>Spain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B7B02D" w14:textId="10B3DC30" w:rsidR="2FA9E159" w:rsidRPr="00941553" w:rsidRDefault="2FA9E159" w:rsidP="2FA9E159">
            <w:pPr>
              <w:spacing w:before="240" w:line="4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b/>
                <w:bCs/>
                <w:color w:val="0F1115"/>
                <w:sz w:val="20"/>
                <w:szCs w:val="20"/>
              </w:rPr>
              <w:t>Portugal</w:t>
            </w:r>
          </w:p>
        </w:tc>
      </w:tr>
      <w:tr w:rsidR="2FA9E159" w:rsidRPr="00941553" w14:paraId="0C8ED5E9" w14:textId="77777777" w:rsidTr="00EC0E57">
        <w:trPr>
          <w:trHeight w:val="300"/>
          <w:jc w:val="center"/>
        </w:trPr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D4423A" w14:textId="0AF3FFEC" w:rsidR="2FA9E159" w:rsidRPr="00941553" w:rsidRDefault="2FA9E159" w:rsidP="2FA9E159">
            <w:pPr>
              <w:spacing w:before="240" w:line="4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</w:rPr>
              <w:t>Psychological capability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F02D92" w14:textId="36367A56" w:rsidR="2FA9E159" w:rsidRPr="00941553" w:rsidRDefault="2FA9E159" w:rsidP="2FA9E159">
            <w:pPr>
              <w:spacing w:before="240" w:line="40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Communication adapted to patients’ needs; use of guidelines as a reference; empathetic communication; shared decision-making.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3C7F1F" w14:textId="614781BE" w:rsidR="2FA9E159" w:rsidRPr="00941553" w:rsidRDefault="2FA9E159" w:rsidP="2FA9E159">
            <w:pPr>
              <w:spacing w:before="240" w:line="400" w:lineRule="auto"/>
              <w:rPr>
                <w:rFonts w:ascii="Times New Roman" w:eastAsia="Aptos" w:hAnsi="Times New Roman" w:cs="Times New Roman"/>
                <w:color w:val="0F1115"/>
                <w:sz w:val="20"/>
                <w:szCs w:val="20"/>
              </w:rPr>
            </w:pPr>
            <w:r w:rsidRPr="00941553">
              <w:rPr>
                <w:rFonts w:ascii="Times New Roman" w:eastAsia="Aptos" w:hAnsi="Times New Roman" w:cs="Times New Roman"/>
                <w:color w:val="0F1115"/>
                <w:sz w:val="20"/>
                <w:szCs w:val="20"/>
              </w:rPr>
              <w:t>Patient compliance challenges; Dual adaptation to uncertainty.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926A6B" w14:textId="4722D1A3" w:rsidR="2FA9E159" w:rsidRPr="00941553" w:rsidRDefault="2FA9E159" w:rsidP="2FA9E159">
            <w:pPr>
              <w:spacing w:before="240" w:line="400" w:lineRule="auto"/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</w:pPr>
            <w:r w:rsidRPr="00941553">
              <w:rPr>
                <w:rFonts w:ascii="Times New Roman" w:eastAsia="Aptos" w:hAnsi="Times New Roman" w:cs="Times New Roman"/>
                <w:color w:val="0F1115"/>
                <w:sz w:val="20"/>
                <w:szCs w:val="20"/>
              </w:rPr>
              <w:t xml:space="preserve">Structured, education-based approach; </w:t>
            </w: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emphasis on p</w:t>
            </w:r>
            <w:r w:rsidRPr="00941553">
              <w:rPr>
                <w:rFonts w:ascii="Times New Roman" w:eastAsia="Aptos" w:hAnsi="Times New Roman" w:cs="Times New Roman"/>
                <w:color w:val="0F1115"/>
                <w:sz w:val="20"/>
                <w:szCs w:val="20"/>
              </w:rPr>
              <w:t xml:space="preserve">atient empowerment focus; </w:t>
            </w:r>
            <w:r w:rsidRPr="00941553">
              <w:rPr>
                <w:rFonts w:ascii="Times New Roman" w:eastAsia="Aptos" w:hAnsi="Times New Roman" w:cs="Times New Roman"/>
                <w:color w:val="000000" w:themeColor="text1"/>
                <w:sz w:val="20"/>
                <w:szCs w:val="20"/>
              </w:rPr>
              <w:t>variability in knowledge across centres.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D3FB2D" w14:textId="6C57CF4E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Reliance on experience-based decision-making; challenges in adhering to rigid guidelines.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FE1721" w14:textId="3EE3AAA8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Training gaps; reliance on guidelines; awareness of patient anxiety.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5491C9" w14:textId="354D53DD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Multidisciplinary approach; knowledge gaps between centres; emphasis on psychosocial support.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ED6A08" w14:textId="08EA98F0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Ethical deliberation in decision-making; influence of family context on communication.</w:t>
            </w:r>
          </w:p>
        </w:tc>
      </w:tr>
      <w:tr w:rsidR="2FA9E159" w:rsidRPr="00941553" w14:paraId="21246A5E" w14:textId="77777777" w:rsidTr="00EC0E57">
        <w:trPr>
          <w:trHeight w:val="300"/>
          <w:jc w:val="center"/>
        </w:trPr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4A1714" w14:textId="79FF2BEB" w:rsidR="2FA9E159" w:rsidRPr="00941553" w:rsidRDefault="2FA9E159" w:rsidP="2FA9E159">
            <w:pPr>
              <w:spacing w:before="240" w:line="4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</w:rPr>
              <w:t>Social opportunity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A04BBB" w14:textId="0E5872DD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Importance of professional networks and interdisciplinary collaboration; influence of family on patients’ decision-making.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4BCFD0" w14:textId="4AB71707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Established clinician–patient relationships; collaboration with patient associations and among clinicians.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2E1F22" w14:textId="76A668C7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Formal care networks; peer learning; role of self-help groups.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33F7CC" w14:textId="18989E4A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Strong patient–clinician relationships; peer learning; use of joint consultations.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04D2BE" w14:textId="3FA0A4E9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Interdisciplinary collaboration; challenges in family communication; reliance on institutional systems.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C65AE0" w14:textId="7F09606A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Influence of media and peer support; family pressure; informal coordination networks.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71C744" w14:textId="3D4AD288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Influence of family experiences on decisions; stigma around genetic care; trust between specialties.</w:t>
            </w:r>
          </w:p>
        </w:tc>
      </w:tr>
      <w:tr w:rsidR="2FA9E159" w:rsidRPr="00941553" w14:paraId="77A3CB5A" w14:textId="77777777" w:rsidTr="00EC0E57">
        <w:trPr>
          <w:trHeight w:val="300"/>
          <w:jc w:val="center"/>
        </w:trPr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601C4C" w14:textId="3A7C813C" w:rsidR="2FA9E159" w:rsidRPr="00941553" w:rsidRDefault="2FA9E159" w:rsidP="2FA9E159">
            <w:pPr>
              <w:spacing w:before="240" w:line="4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</w:rPr>
              <w:lastRenderedPageBreak/>
              <w:t>Physical opportunity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F94F92" w14:textId="4D459D64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Centralisation of specialised care; logistical barriers; organisational constraints affecting coordination.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76BDE4" w14:textId="5333F5A3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Unequal territorial access to specialised services; financial disincentives for preventive care.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CF6246" w14:textId="30A6884E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Decentralised care; limited recognition/funding for preventive care; fragmented coordination.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3C2154" w14:textId="2DF1CA45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Financial coverage of surveillance; logistical barriers affecting attendance.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01D83C" w14:textId="47986727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Lack of shared medical records; geographic/seasonal barriers; turnover of general practitioners affecting continuity of care</w:t>
            </w:r>
            <w:r w:rsidRPr="009415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93D186" w14:textId="5181636A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Regional variability; rigid referral pathways; limited flexibility.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3B4028" w14:textId="08BA08B6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Low prioritisation of surveillance; limited consultation time; reliance on informal coordination; financial constraints influencing decisions.</w:t>
            </w:r>
          </w:p>
        </w:tc>
      </w:tr>
      <w:tr w:rsidR="2FA9E159" w:rsidRPr="00941553" w14:paraId="2871BE3A" w14:textId="77777777" w:rsidTr="00EC0E57">
        <w:trPr>
          <w:trHeight w:val="300"/>
          <w:jc w:val="center"/>
        </w:trPr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B6C008" w14:textId="0CB1F3A5" w:rsidR="2FA9E159" w:rsidRPr="00941553" w:rsidRDefault="2FA9E159" w:rsidP="2FA9E159">
            <w:pPr>
              <w:spacing w:before="240" w:line="4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</w:rPr>
              <w:t>Reflective motivation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CB9BB4" w14:textId="20F73B48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Belief in proactive risk management; sense of duty to coordinate care; prioritisation of patient reassurance; emphasis on sustained follow-up.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F11503" w14:textId="0DE16A09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Professional identity centred on relational guide; focus on sustaining patient adherence within complex pathways.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D75F0E" w14:textId="0525E2BC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Concerns regarding care transitions; consideration of structural and reimbursement constraints; sense of long-term patient responsibility.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24F46B" w14:textId="3E7CA65E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Tension between guidelines adherence and clinical experience; concerns about care avoidance; reliance on trust-based decision-making.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31A278" w14:textId="210AEFE4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Balancing clinical benefits with psychosocial impact; legal constraints on family outreach.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C3DDC7" w14:textId="7400C18F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Concerns about over-referral and over-medicalisation; prevalence-driven decision-making.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4B79AE" w14:textId="522713D3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Confidence in guidelines; use of structured pathways to support patient reassurance.</w:t>
            </w:r>
          </w:p>
        </w:tc>
      </w:tr>
      <w:tr w:rsidR="2FA9E159" w:rsidRPr="00941553" w14:paraId="5E998D61" w14:textId="77777777" w:rsidTr="00EC0E57">
        <w:trPr>
          <w:trHeight w:val="300"/>
          <w:jc w:val="center"/>
        </w:trPr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3531D8" w14:textId="414B4DA1" w:rsidR="2FA9E159" w:rsidRPr="00941553" w:rsidRDefault="2FA9E159" w:rsidP="2FA9E159">
            <w:pPr>
              <w:spacing w:before="240" w:line="40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</w:rPr>
              <w:lastRenderedPageBreak/>
              <w:t>Automatic motivation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7BCCD2" w14:textId="3246F346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Emotional responses (e.g., guilt, satisfaction, anxiety); reliance on clinical habits to reduce uncertainty; professional satisfaction derived from positive outcomes.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2DE7D3" w14:textId="20C42A28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Routine-based referral practices.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697170" w14:textId="5E6D2584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Guilt and moral responsibility; strong emotional engagement.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37EE61" w14:textId="0F0F6AF6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Initial uncertainty; confidence increasing through experience.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198984" w14:textId="43F98F80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Routine-based care; management of emotional burden.</w:t>
            </w:r>
          </w:p>
        </w:tc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C81A9E" w14:textId="05EF6F34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Fear of error; emotional burden; professional regret.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228BF3" w14:textId="36215B89" w:rsidR="2FA9E159" w:rsidRPr="00941553" w:rsidRDefault="2FA9E159" w:rsidP="2FA9E159">
            <w:pPr>
              <w:spacing w:before="240" w:line="4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15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Emotional burden associated with uncertainty; frustration with non-adherence; satisfaction with positive outcomes.</w:t>
            </w:r>
          </w:p>
        </w:tc>
      </w:tr>
    </w:tbl>
    <w:p w14:paraId="15861672" w14:textId="34F60086" w:rsidR="68F6AF33" w:rsidRDefault="68F6AF33" w:rsidP="0C564351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0F1115"/>
          <w:sz w:val="22"/>
          <w:szCs w:val="22"/>
        </w:rPr>
      </w:pPr>
    </w:p>
    <w:sectPr w:rsidR="68F6AF33" w:rsidSect="00941553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51A8C7"/>
    <w:rsid w:val="001352F5"/>
    <w:rsid w:val="00500CC6"/>
    <w:rsid w:val="00941553"/>
    <w:rsid w:val="00BD64B3"/>
    <w:rsid w:val="00E1262A"/>
    <w:rsid w:val="00EC0E57"/>
    <w:rsid w:val="01835ACB"/>
    <w:rsid w:val="0C564351"/>
    <w:rsid w:val="17CB7535"/>
    <w:rsid w:val="2FA9E159"/>
    <w:rsid w:val="347B9B6B"/>
    <w:rsid w:val="473FED99"/>
    <w:rsid w:val="4751A8C7"/>
    <w:rsid w:val="4C16748E"/>
    <w:rsid w:val="4EE6E767"/>
    <w:rsid w:val="57D35D3C"/>
    <w:rsid w:val="5F5BCBAB"/>
    <w:rsid w:val="68F6AF33"/>
    <w:rsid w:val="7215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51A8C7"/>
  <w15:chartTrackingRefBased/>
  <w15:docId w15:val="{33CC9130-272C-462B-8D65-41DF1F5D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0C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C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C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C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C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480</Words>
  <Characters>3188</Characters>
  <Application>Microsoft Office Word</Application>
  <DocSecurity>0</DocSecurity>
  <Lines>52</Lines>
  <Paragraphs>22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Maiara Moreto</dc:creator>
  <cp:keywords/>
  <dc:description/>
  <cp:lastModifiedBy>Maiara Eliza Moreto</cp:lastModifiedBy>
  <cp:revision>13</cp:revision>
  <dcterms:created xsi:type="dcterms:W3CDTF">2026-03-17T16:54:00Z</dcterms:created>
  <dcterms:modified xsi:type="dcterms:W3CDTF">2026-06-09T12:06:00Z</dcterms:modified>
</cp:coreProperties>
</file>