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42F6" w14:textId="675C21C5" w:rsidR="00B34EDE" w:rsidRDefault="00B34EDE" w:rsidP="00B34EDE">
      <w:pPr>
        <w:jc w:val="center"/>
        <w:rPr>
          <w:rFonts w:hint="eastAsia"/>
        </w:rPr>
      </w:pPr>
      <w:r>
        <w:rPr>
          <w:rFonts w:hint="eastAsia"/>
        </w:rPr>
        <w:t xml:space="preserve">Table 1. </w:t>
      </w:r>
      <w:r w:rsidRPr="003C1A20">
        <w:rPr>
          <w:rFonts w:hint="eastAsia"/>
        </w:rPr>
        <w:t>Group Information and Clinical Characteristics</w:t>
      </w:r>
    </w:p>
    <w:p w14:paraId="128C6292" w14:textId="77777777" w:rsidR="00B34EDE" w:rsidRPr="00B34EDE" w:rsidRDefault="00B34EDE">
      <w:pPr>
        <w:rPr>
          <w:rFonts w:hint="eastAsia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1710"/>
        <w:gridCol w:w="1670"/>
        <w:gridCol w:w="1642"/>
        <w:gridCol w:w="1592"/>
      </w:tblGrid>
      <w:tr w:rsidR="00317EE9" w14:paraId="1273EEB3" w14:textId="77777777" w:rsidTr="00D82E22">
        <w:trPr>
          <w:trHeight w:val="229"/>
          <w:jc w:val="center"/>
        </w:trPr>
        <w:tc>
          <w:tcPr>
            <w:tcW w:w="1802" w:type="dxa"/>
            <w:tcBorders>
              <w:top w:val="double" w:sz="4" w:space="0" w:color="auto"/>
              <w:bottom w:val="double" w:sz="4" w:space="0" w:color="auto"/>
            </w:tcBorders>
          </w:tcPr>
          <w:p w14:paraId="6B704BB8" w14:textId="77777777" w:rsidR="00317EE9" w:rsidRPr="00D82E22" w:rsidRDefault="00317EE9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</w:p>
        </w:tc>
        <w:tc>
          <w:tcPr>
            <w:tcW w:w="1802" w:type="dxa"/>
            <w:tcBorders>
              <w:top w:val="double" w:sz="4" w:space="0" w:color="auto"/>
              <w:bottom w:val="double" w:sz="4" w:space="0" w:color="auto"/>
            </w:tcBorders>
          </w:tcPr>
          <w:p w14:paraId="4E15D20C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Healthy Subjects(n=27)</w:t>
            </w:r>
          </w:p>
        </w:tc>
        <w:tc>
          <w:tcPr>
            <w:tcW w:w="1803" w:type="dxa"/>
            <w:tcBorders>
              <w:top w:val="double" w:sz="4" w:space="0" w:color="auto"/>
              <w:bottom w:val="double" w:sz="4" w:space="0" w:color="auto"/>
            </w:tcBorders>
          </w:tcPr>
          <w:p w14:paraId="3627E81B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PD(n=37)</w:t>
            </w:r>
          </w:p>
        </w:tc>
        <w:tc>
          <w:tcPr>
            <w:tcW w:w="1803" w:type="dxa"/>
            <w:tcBorders>
              <w:top w:val="double" w:sz="4" w:space="0" w:color="auto"/>
              <w:bottom w:val="double" w:sz="4" w:space="0" w:color="auto"/>
            </w:tcBorders>
          </w:tcPr>
          <w:p w14:paraId="3400342B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MCI(n=18)</w:t>
            </w:r>
          </w:p>
        </w:tc>
        <w:tc>
          <w:tcPr>
            <w:tcW w:w="1803" w:type="dxa"/>
            <w:tcBorders>
              <w:top w:val="double" w:sz="4" w:space="0" w:color="auto"/>
              <w:bottom w:val="double" w:sz="4" w:space="0" w:color="auto"/>
            </w:tcBorders>
          </w:tcPr>
          <w:p w14:paraId="06DE1FBB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sz w:val="18"/>
                <w:szCs w:val="18"/>
              </w:rPr>
              <w:t xml:space="preserve"> value</w:t>
            </w:r>
          </w:p>
        </w:tc>
      </w:tr>
      <w:tr w:rsidR="00317EE9" w14:paraId="773A0C1F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double" w:sz="4" w:space="0" w:color="auto"/>
            </w:tcBorders>
          </w:tcPr>
          <w:p w14:paraId="0499117D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Age (years)</w:t>
            </w:r>
          </w:p>
        </w:tc>
        <w:tc>
          <w:tcPr>
            <w:tcW w:w="1802" w:type="dxa"/>
            <w:tcBorders>
              <w:top w:val="double" w:sz="4" w:space="0" w:color="auto"/>
            </w:tcBorders>
          </w:tcPr>
          <w:p w14:paraId="7F408E52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55.41±14.18</w:t>
            </w:r>
          </w:p>
        </w:tc>
        <w:tc>
          <w:tcPr>
            <w:tcW w:w="1803" w:type="dxa"/>
            <w:tcBorders>
              <w:top w:val="double" w:sz="4" w:space="0" w:color="auto"/>
            </w:tcBorders>
          </w:tcPr>
          <w:p w14:paraId="6AA0DC8B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59.43</w:t>
            </w:r>
            <w:r>
              <w:rPr>
                <w:rFonts w:eastAsiaTheme="minorHAnsi"/>
                <w:sz w:val="18"/>
                <w:szCs w:val="18"/>
              </w:rPr>
              <w:t>±</w:t>
            </w:r>
            <w:r>
              <w:rPr>
                <w:rFonts w:eastAsiaTheme="minorHAnsi" w:hint="eastAsia"/>
                <w:sz w:val="18"/>
                <w:szCs w:val="18"/>
              </w:rPr>
              <w:t>10.74</w:t>
            </w:r>
          </w:p>
        </w:tc>
        <w:tc>
          <w:tcPr>
            <w:tcW w:w="1803" w:type="dxa"/>
            <w:tcBorders>
              <w:top w:val="double" w:sz="4" w:space="0" w:color="auto"/>
            </w:tcBorders>
          </w:tcPr>
          <w:p w14:paraId="3839AAF8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70.78±7.94</w:t>
            </w:r>
          </w:p>
        </w:tc>
        <w:tc>
          <w:tcPr>
            <w:tcW w:w="1803" w:type="dxa"/>
            <w:tcBorders>
              <w:top w:val="double" w:sz="4" w:space="0" w:color="auto"/>
            </w:tcBorders>
          </w:tcPr>
          <w:p w14:paraId="1760CA35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eastAsiaTheme="minorHAnsi" w:hint="eastAsia"/>
                <w:sz w:val="18"/>
                <w:szCs w:val="18"/>
              </w:rPr>
              <w:t xml:space="preserve">=0.19 </w:t>
            </w: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eastAsiaTheme="minorHAnsi" w:hint="eastAsia"/>
                <w:sz w:val="18"/>
                <w:szCs w:val="18"/>
              </w:rPr>
              <w:t>&lt;0.05</w:t>
            </w:r>
          </w:p>
        </w:tc>
      </w:tr>
      <w:tr w:rsidR="00317EE9" w14:paraId="00C12E27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08EFFC4C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Gender (male/female)</w:t>
            </w:r>
          </w:p>
        </w:tc>
        <w:tc>
          <w:tcPr>
            <w:tcW w:w="1802" w:type="dxa"/>
            <w:tcBorders>
              <w:top w:val="nil"/>
            </w:tcBorders>
          </w:tcPr>
          <w:p w14:paraId="79AEACF9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10/17</w:t>
            </w:r>
          </w:p>
        </w:tc>
        <w:tc>
          <w:tcPr>
            <w:tcW w:w="1803" w:type="dxa"/>
            <w:tcBorders>
              <w:top w:val="nil"/>
            </w:tcBorders>
          </w:tcPr>
          <w:p w14:paraId="3D2EC398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13/24</w:t>
            </w:r>
          </w:p>
        </w:tc>
        <w:tc>
          <w:tcPr>
            <w:tcW w:w="1803" w:type="dxa"/>
            <w:tcBorders>
              <w:top w:val="nil"/>
            </w:tcBorders>
          </w:tcPr>
          <w:p w14:paraId="461270DD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4/14</w:t>
            </w:r>
          </w:p>
        </w:tc>
        <w:tc>
          <w:tcPr>
            <w:tcW w:w="1803" w:type="dxa"/>
            <w:tcBorders>
              <w:top w:val="nil"/>
            </w:tcBorders>
          </w:tcPr>
          <w:p w14:paraId="4C80B589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perscript"/>
              </w:rPr>
              <w:t>#</w:t>
            </w:r>
            <w:r>
              <w:rPr>
                <w:rFonts w:eastAsiaTheme="minorHAnsi" w:hint="eastAsia"/>
                <w:sz w:val="18"/>
                <w:szCs w:val="18"/>
              </w:rPr>
              <w:t>=0.54</w:t>
            </w:r>
          </w:p>
        </w:tc>
      </w:tr>
      <w:tr w:rsidR="00317EE9" w14:paraId="0374A373" w14:textId="77777777" w:rsidTr="00D82E22">
        <w:trPr>
          <w:trHeight w:val="229"/>
          <w:jc w:val="center"/>
        </w:trPr>
        <w:tc>
          <w:tcPr>
            <w:tcW w:w="1802" w:type="dxa"/>
            <w:tcBorders>
              <w:top w:val="nil"/>
            </w:tcBorders>
          </w:tcPr>
          <w:p w14:paraId="0E14386E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Duration of disease (years)</w:t>
            </w:r>
          </w:p>
        </w:tc>
        <w:tc>
          <w:tcPr>
            <w:tcW w:w="1802" w:type="dxa"/>
            <w:tcBorders>
              <w:top w:val="nil"/>
            </w:tcBorders>
          </w:tcPr>
          <w:p w14:paraId="38C59886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0F791361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7.51±3.88</w:t>
            </w:r>
          </w:p>
        </w:tc>
        <w:tc>
          <w:tcPr>
            <w:tcW w:w="1803" w:type="dxa"/>
            <w:tcBorders>
              <w:top w:val="nil"/>
            </w:tcBorders>
          </w:tcPr>
          <w:p w14:paraId="32E91EFF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3.28±2.93</w:t>
            </w:r>
          </w:p>
        </w:tc>
        <w:tc>
          <w:tcPr>
            <w:tcW w:w="1803" w:type="dxa"/>
            <w:tcBorders>
              <w:top w:val="nil"/>
            </w:tcBorders>
          </w:tcPr>
          <w:p w14:paraId="3456DD4D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</w:tr>
      <w:tr w:rsidR="00317EE9" w14:paraId="795E491E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6B2EBE82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MMSE</w:t>
            </w:r>
          </w:p>
        </w:tc>
        <w:tc>
          <w:tcPr>
            <w:tcW w:w="1802" w:type="dxa"/>
            <w:tcBorders>
              <w:top w:val="nil"/>
            </w:tcBorders>
          </w:tcPr>
          <w:p w14:paraId="7B4F5ECF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28.60±1.13</w:t>
            </w:r>
          </w:p>
        </w:tc>
        <w:tc>
          <w:tcPr>
            <w:tcW w:w="1803" w:type="dxa"/>
            <w:tcBorders>
              <w:top w:val="nil"/>
            </w:tcBorders>
          </w:tcPr>
          <w:p w14:paraId="2EF52675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24.48±4.31</w:t>
            </w:r>
          </w:p>
        </w:tc>
        <w:tc>
          <w:tcPr>
            <w:tcW w:w="1803" w:type="dxa"/>
            <w:tcBorders>
              <w:top w:val="nil"/>
            </w:tcBorders>
          </w:tcPr>
          <w:p w14:paraId="0DD128B4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13.00±5.43</w:t>
            </w:r>
          </w:p>
        </w:tc>
        <w:tc>
          <w:tcPr>
            <w:tcW w:w="1803" w:type="dxa"/>
            <w:tcBorders>
              <w:top w:val="nil"/>
            </w:tcBorders>
          </w:tcPr>
          <w:p w14:paraId="2C133ED5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eastAsiaTheme="minorHAnsi" w:hint="eastAsia"/>
                <w:sz w:val="18"/>
                <w:szCs w:val="18"/>
              </w:rPr>
              <w:t xml:space="preserve">&lt;0.05 </w:t>
            </w: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eastAsiaTheme="minorHAnsi" w:hint="eastAsia"/>
                <w:sz w:val="18"/>
                <w:szCs w:val="18"/>
              </w:rPr>
              <w:t>&lt;0.05</w:t>
            </w:r>
          </w:p>
        </w:tc>
      </w:tr>
      <w:tr w:rsidR="00317EE9" w14:paraId="40EE3EC6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7740F4A2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20"/>
              </w:rPr>
              <w:t>M</w:t>
            </w:r>
            <w:r>
              <w:rPr>
                <w:sz w:val="18"/>
                <w:szCs w:val="20"/>
              </w:rPr>
              <w:t>oCA</w:t>
            </w:r>
          </w:p>
        </w:tc>
        <w:tc>
          <w:tcPr>
            <w:tcW w:w="1802" w:type="dxa"/>
            <w:tcBorders>
              <w:top w:val="nil"/>
            </w:tcBorders>
          </w:tcPr>
          <w:p w14:paraId="11F5D913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27.42±1.26</w:t>
            </w:r>
          </w:p>
        </w:tc>
        <w:tc>
          <w:tcPr>
            <w:tcW w:w="1803" w:type="dxa"/>
            <w:tcBorders>
              <w:top w:val="nil"/>
            </w:tcBorders>
          </w:tcPr>
          <w:p w14:paraId="1F9568E0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23.54±4.76</w:t>
            </w:r>
          </w:p>
        </w:tc>
        <w:tc>
          <w:tcPr>
            <w:tcW w:w="1803" w:type="dxa"/>
            <w:tcBorders>
              <w:top w:val="nil"/>
            </w:tcBorders>
          </w:tcPr>
          <w:p w14:paraId="41E50AFA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12.00±5.44</w:t>
            </w:r>
          </w:p>
        </w:tc>
        <w:tc>
          <w:tcPr>
            <w:tcW w:w="1803" w:type="dxa"/>
            <w:tcBorders>
              <w:top w:val="nil"/>
            </w:tcBorders>
          </w:tcPr>
          <w:p w14:paraId="0AE2FC1B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eastAsiaTheme="minorHAnsi" w:hint="eastAsia"/>
                <w:sz w:val="18"/>
                <w:szCs w:val="18"/>
              </w:rPr>
              <w:t xml:space="preserve">&lt;0.05 </w:t>
            </w: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eastAsiaTheme="minorHAnsi" w:hint="eastAsia"/>
                <w:sz w:val="18"/>
                <w:szCs w:val="18"/>
              </w:rPr>
              <w:t>&lt;0.05</w:t>
            </w:r>
          </w:p>
        </w:tc>
      </w:tr>
      <w:tr w:rsidR="00317EE9" w14:paraId="75994F33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72E0775C" w14:textId="77777777" w:rsidR="00317EE9" w:rsidRDefault="00000000">
            <w:pPr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HAMD</w:t>
            </w:r>
          </w:p>
        </w:tc>
        <w:tc>
          <w:tcPr>
            <w:tcW w:w="1802" w:type="dxa"/>
            <w:tcBorders>
              <w:top w:val="nil"/>
            </w:tcBorders>
          </w:tcPr>
          <w:p w14:paraId="284FF9FC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4.91±2.72</w:t>
            </w:r>
          </w:p>
        </w:tc>
        <w:tc>
          <w:tcPr>
            <w:tcW w:w="1803" w:type="dxa"/>
            <w:tcBorders>
              <w:top w:val="nil"/>
            </w:tcBorders>
          </w:tcPr>
          <w:p w14:paraId="1F36123D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12.54±6.04</w:t>
            </w:r>
          </w:p>
        </w:tc>
        <w:tc>
          <w:tcPr>
            <w:tcW w:w="1803" w:type="dxa"/>
            <w:tcBorders>
              <w:top w:val="nil"/>
            </w:tcBorders>
          </w:tcPr>
          <w:p w14:paraId="786671E4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10.39±6.42</w:t>
            </w:r>
          </w:p>
        </w:tc>
        <w:tc>
          <w:tcPr>
            <w:tcW w:w="1803" w:type="dxa"/>
            <w:tcBorders>
              <w:top w:val="nil"/>
            </w:tcBorders>
          </w:tcPr>
          <w:p w14:paraId="0D2C3FD4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eastAsiaTheme="minorHAnsi" w:hint="eastAsia"/>
                <w:sz w:val="18"/>
                <w:szCs w:val="18"/>
              </w:rPr>
              <w:t xml:space="preserve">&lt;0.05 </w:t>
            </w: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eastAsiaTheme="minorHAnsi" w:hint="eastAsia"/>
                <w:sz w:val="18"/>
                <w:szCs w:val="18"/>
              </w:rPr>
              <w:t>&lt;0.05</w:t>
            </w:r>
          </w:p>
        </w:tc>
      </w:tr>
      <w:tr w:rsidR="00317EE9" w14:paraId="053EBEF6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26726127" w14:textId="77777777" w:rsidR="00317EE9" w:rsidRDefault="00000000">
            <w:pPr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HAMA</w:t>
            </w:r>
          </w:p>
        </w:tc>
        <w:tc>
          <w:tcPr>
            <w:tcW w:w="1802" w:type="dxa"/>
            <w:tcBorders>
              <w:top w:val="nil"/>
            </w:tcBorders>
          </w:tcPr>
          <w:p w14:paraId="0D05E738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5.14±3.51</w:t>
            </w:r>
          </w:p>
        </w:tc>
        <w:tc>
          <w:tcPr>
            <w:tcW w:w="1803" w:type="dxa"/>
            <w:tcBorders>
              <w:top w:val="nil"/>
            </w:tcBorders>
          </w:tcPr>
          <w:p w14:paraId="3683FED9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12.46±4.27</w:t>
            </w:r>
          </w:p>
        </w:tc>
        <w:tc>
          <w:tcPr>
            <w:tcW w:w="1803" w:type="dxa"/>
            <w:tcBorders>
              <w:top w:val="nil"/>
            </w:tcBorders>
          </w:tcPr>
          <w:p w14:paraId="00D4AAD2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19.06±9.32</w:t>
            </w:r>
          </w:p>
        </w:tc>
        <w:tc>
          <w:tcPr>
            <w:tcW w:w="1803" w:type="dxa"/>
            <w:tcBorders>
              <w:top w:val="nil"/>
            </w:tcBorders>
          </w:tcPr>
          <w:p w14:paraId="79A9E18C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1</w:t>
            </w:r>
            <w:r>
              <w:rPr>
                <w:rFonts w:eastAsiaTheme="minorHAnsi" w:hint="eastAsia"/>
                <w:sz w:val="18"/>
                <w:szCs w:val="18"/>
              </w:rPr>
              <w:t xml:space="preserve">&lt;0.05 </w:t>
            </w:r>
            <w:r>
              <w:rPr>
                <w:rFonts w:eastAsiaTheme="minorHAnsi" w:hint="eastAsia"/>
                <w:i/>
                <w:iCs/>
                <w:sz w:val="18"/>
                <w:szCs w:val="18"/>
              </w:rPr>
              <w:t>P</w:t>
            </w:r>
            <w:r>
              <w:rPr>
                <w:rFonts w:eastAsiaTheme="minorHAnsi" w:hint="eastAsia"/>
                <w:i/>
                <w:iCs/>
                <w:sz w:val="18"/>
                <w:szCs w:val="18"/>
                <w:vertAlign w:val="subscript"/>
              </w:rPr>
              <w:t>2</w:t>
            </w:r>
            <w:r>
              <w:rPr>
                <w:rFonts w:eastAsiaTheme="minorHAnsi" w:hint="eastAsia"/>
                <w:sz w:val="18"/>
                <w:szCs w:val="18"/>
              </w:rPr>
              <w:t>&lt;0.05</w:t>
            </w:r>
          </w:p>
        </w:tc>
      </w:tr>
      <w:tr w:rsidR="00317EE9" w14:paraId="4AC2CE66" w14:textId="77777777" w:rsidTr="00D82E22">
        <w:trPr>
          <w:trHeight w:val="229"/>
          <w:jc w:val="center"/>
        </w:trPr>
        <w:tc>
          <w:tcPr>
            <w:tcW w:w="1802" w:type="dxa"/>
            <w:tcBorders>
              <w:top w:val="nil"/>
            </w:tcBorders>
          </w:tcPr>
          <w:p w14:paraId="74AC97FF" w14:textId="77777777" w:rsidR="00317EE9" w:rsidRDefault="00000000">
            <w:pPr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ADL(</w:t>
            </w:r>
            <w:r>
              <w:rPr>
                <w:sz w:val="18"/>
                <w:szCs w:val="20"/>
              </w:rPr>
              <w:t>Barthel</w:t>
            </w:r>
            <w:r>
              <w:rPr>
                <w:rFonts w:hint="eastAsia"/>
                <w:sz w:val="18"/>
                <w:szCs w:val="20"/>
              </w:rPr>
              <w:t>)</w:t>
            </w:r>
          </w:p>
        </w:tc>
        <w:tc>
          <w:tcPr>
            <w:tcW w:w="1802" w:type="dxa"/>
            <w:tcBorders>
              <w:top w:val="nil"/>
            </w:tcBorders>
          </w:tcPr>
          <w:p w14:paraId="1C501A9C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481987A5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71.23±14.38</w:t>
            </w:r>
          </w:p>
        </w:tc>
        <w:tc>
          <w:tcPr>
            <w:tcW w:w="1803" w:type="dxa"/>
            <w:tcBorders>
              <w:top w:val="nil"/>
            </w:tcBorders>
          </w:tcPr>
          <w:p w14:paraId="1675AEE5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61.72±11.3</w:t>
            </w:r>
          </w:p>
        </w:tc>
        <w:tc>
          <w:tcPr>
            <w:tcW w:w="1803" w:type="dxa"/>
            <w:tcBorders>
              <w:top w:val="nil"/>
            </w:tcBorders>
          </w:tcPr>
          <w:p w14:paraId="3BC33486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</w:tr>
      <w:tr w:rsidR="00317EE9" w14:paraId="52B8F912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2D0514E8" w14:textId="77777777" w:rsidR="00317EE9" w:rsidRDefault="00000000">
            <w:pPr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Hoehn-Yahr stage</w:t>
            </w:r>
          </w:p>
        </w:tc>
        <w:tc>
          <w:tcPr>
            <w:tcW w:w="1802" w:type="dxa"/>
            <w:tcBorders>
              <w:top w:val="nil"/>
            </w:tcBorders>
          </w:tcPr>
          <w:p w14:paraId="36FFDCA7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10C0BA61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2.86±0.89</w:t>
            </w:r>
          </w:p>
        </w:tc>
        <w:tc>
          <w:tcPr>
            <w:tcW w:w="1803" w:type="dxa"/>
            <w:tcBorders>
              <w:top w:val="nil"/>
            </w:tcBorders>
          </w:tcPr>
          <w:p w14:paraId="4CBAC832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349EFF68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</w:tr>
      <w:tr w:rsidR="00317EE9" w14:paraId="6725914D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00C63354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UPDRS Part Ⅲ</w:t>
            </w:r>
          </w:p>
        </w:tc>
        <w:tc>
          <w:tcPr>
            <w:tcW w:w="1802" w:type="dxa"/>
            <w:tcBorders>
              <w:top w:val="nil"/>
            </w:tcBorders>
          </w:tcPr>
          <w:p w14:paraId="4EABC2C1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2E5B4A85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45.41±22.35</w:t>
            </w:r>
          </w:p>
        </w:tc>
        <w:tc>
          <w:tcPr>
            <w:tcW w:w="1803" w:type="dxa"/>
            <w:tcBorders>
              <w:top w:val="nil"/>
            </w:tcBorders>
          </w:tcPr>
          <w:p w14:paraId="7F469E8A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533D063F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</w:tr>
      <w:tr w:rsidR="00317EE9" w14:paraId="365D0F89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39F184F7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NMSS</w:t>
            </w:r>
          </w:p>
        </w:tc>
        <w:tc>
          <w:tcPr>
            <w:tcW w:w="1802" w:type="dxa"/>
            <w:tcBorders>
              <w:top w:val="nil"/>
            </w:tcBorders>
          </w:tcPr>
          <w:p w14:paraId="0186CD01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2B73479A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48.32±22.74</w:t>
            </w:r>
          </w:p>
        </w:tc>
        <w:tc>
          <w:tcPr>
            <w:tcW w:w="1803" w:type="dxa"/>
            <w:tcBorders>
              <w:top w:val="nil"/>
            </w:tcBorders>
          </w:tcPr>
          <w:p w14:paraId="008EA72E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7BB05295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</w:tr>
      <w:tr w:rsidR="00317EE9" w14:paraId="1CAC1BA6" w14:textId="77777777" w:rsidTr="00D82E22">
        <w:trPr>
          <w:trHeight w:val="229"/>
          <w:jc w:val="center"/>
        </w:trPr>
        <w:tc>
          <w:tcPr>
            <w:tcW w:w="1802" w:type="dxa"/>
            <w:tcBorders>
              <w:top w:val="nil"/>
            </w:tcBorders>
          </w:tcPr>
          <w:p w14:paraId="0E107E2A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CDR</w:t>
            </w:r>
          </w:p>
        </w:tc>
        <w:tc>
          <w:tcPr>
            <w:tcW w:w="1802" w:type="dxa"/>
            <w:tcBorders>
              <w:top w:val="nil"/>
            </w:tcBorders>
          </w:tcPr>
          <w:p w14:paraId="29C4CDCD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7E180251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7A1DDD40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0.88±0.63</w:t>
            </w:r>
          </w:p>
        </w:tc>
        <w:tc>
          <w:tcPr>
            <w:tcW w:w="1803" w:type="dxa"/>
            <w:tcBorders>
              <w:top w:val="nil"/>
            </w:tcBorders>
          </w:tcPr>
          <w:p w14:paraId="66BDDBF4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</w:tr>
      <w:tr w:rsidR="00317EE9" w14:paraId="76DB45D8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</w:tcBorders>
          </w:tcPr>
          <w:p w14:paraId="121CC3A8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NPI</w:t>
            </w:r>
          </w:p>
        </w:tc>
        <w:tc>
          <w:tcPr>
            <w:tcW w:w="1802" w:type="dxa"/>
            <w:tcBorders>
              <w:top w:val="nil"/>
            </w:tcBorders>
          </w:tcPr>
          <w:p w14:paraId="748ABACD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092D4236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</w:tcBorders>
          </w:tcPr>
          <w:p w14:paraId="2851CF49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30.39±17.11</w:t>
            </w:r>
          </w:p>
        </w:tc>
        <w:tc>
          <w:tcPr>
            <w:tcW w:w="1803" w:type="dxa"/>
            <w:tcBorders>
              <w:top w:val="nil"/>
            </w:tcBorders>
          </w:tcPr>
          <w:p w14:paraId="6589E9CD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</w:tr>
      <w:tr w:rsidR="00317EE9" w14:paraId="07E687A0" w14:textId="77777777" w:rsidTr="00D82E22">
        <w:trPr>
          <w:trHeight w:val="222"/>
          <w:jc w:val="center"/>
        </w:trPr>
        <w:tc>
          <w:tcPr>
            <w:tcW w:w="1802" w:type="dxa"/>
            <w:tcBorders>
              <w:top w:val="nil"/>
              <w:bottom w:val="single" w:sz="4" w:space="0" w:color="auto"/>
            </w:tcBorders>
          </w:tcPr>
          <w:p w14:paraId="3900CAF8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ADAS-cog</w:t>
            </w:r>
          </w:p>
        </w:tc>
        <w:tc>
          <w:tcPr>
            <w:tcW w:w="1802" w:type="dxa"/>
            <w:tcBorders>
              <w:top w:val="nil"/>
              <w:bottom w:val="single" w:sz="4" w:space="0" w:color="auto"/>
            </w:tcBorders>
          </w:tcPr>
          <w:p w14:paraId="6E775DD7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7457E176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6A715C7B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26.33±10.52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</w:tcPr>
          <w:p w14:paraId="19F5DB30" w14:textId="77777777" w:rsidR="00317EE9" w:rsidRDefault="00000000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-</w:t>
            </w:r>
          </w:p>
        </w:tc>
      </w:tr>
    </w:tbl>
    <w:p w14:paraId="0B325AE5" w14:textId="45F71852" w:rsidR="00B34EDE" w:rsidRPr="00B34EDE" w:rsidRDefault="00000000" w:rsidP="004112A4">
      <w:pPr>
        <w:ind w:firstLineChars="400" w:firstLine="720"/>
        <w:jc w:val="center"/>
        <w:rPr>
          <w:rFonts w:eastAsiaTheme="minorHAnsi" w:hint="eastAsia"/>
          <w:sz w:val="18"/>
          <w:szCs w:val="18"/>
        </w:rPr>
      </w:pPr>
      <w:r>
        <w:rPr>
          <w:rFonts w:eastAsiaTheme="minorHAnsi" w:hint="eastAsia"/>
          <w:sz w:val="18"/>
          <w:szCs w:val="18"/>
        </w:rPr>
        <w:t xml:space="preserve">#: chi-square test; </w:t>
      </w:r>
      <w:r w:rsidR="006A3091">
        <w:rPr>
          <w:rFonts w:eastAsiaTheme="minorHAnsi" w:hint="eastAsia"/>
          <w:sz w:val="18"/>
          <w:szCs w:val="18"/>
        </w:rPr>
        <w:t xml:space="preserve">PD: </w:t>
      </w:r>
      <w:r w:rsidR="006A3091" w:rsidRPr="006A3091">
        <w:rPr>
          <w:rFonts w:hint="eastAsia"/>
          <w:sz w:val="18"/>
          <w:szCs w:val="18"/>
        </w:rPr>
        <w:t>Parkinson's disease</w:t>
      </w:r>
      <w:r w:rsidR="006A3091">
        <w:rPr>
          <w:rFonts w:eastAsiaTheme="minorHAnsi" w:hint="eastAsia"/>
          <w:sz w:val="18"/>
          <w:szCs w:val="18"/>
        </w:rPr>
        <w:t xml:space="preserve">. MCI: </w:t>
      </w:r>
      <w:r w:rsidR="006A3091" w:rsidRPr="003623E2">
        <w:rPr>
          <w:rFonts w:hint="eastAsia"/>
          <w:sz w:val="18"/>
          <w:szCs w:val="18"/>
        </w:rPr>
        <w:t>Mild cognitive impairment.</w:t>
      </w:r>
      <w:r w:rsidR="006A3091">
        <w:rPr>
          <w:rFonts w:eastAsiaTheme="minorHAnsi" w:hint="eastAsia"/>
          <w:i/>
          <w:iCs/>
          <w:sz w:val="18"/>
          <w:szCs w:val="18"/>
        </w:rPr>
        <w:t xml:space="preserve"> </w:t>
      </w:r>
      <w:r>
        <w:rPr>
          <w:rFonts w:eastAsiaTheme="minorHAnsi" w:hint="eastAsia"/>
          <w:i/>
          <w:iCs/>
          <w:sz w:val="18"/>
          <w:szCs w:val="18"/>
        </w:rPr>
        <w:t>P</w:t>
      </w:r>
      <w:r>
        <w:rPr>
          <w:rFonts w:eastAsiaTheme="minorHAnsi" w:hint="eastAsia"/>
          <w:i/>
          <w:iCs/>
          <w:sz w:val="18"/>
          <w:szCs w:val="18"/>
          <w:vertAlign w:val="subscript"/>
        </w:rPr>
        <w:t>1</w:t>
      </w:r>
      <w:r>
        <w:rPr>
          <w:rFonts w:eastAsiaTheme="minorHAnsi" w:hint="eastAsia"/>
          <w:sz w:val="18"/>
          <w:szCs w:val="18"/>
        </w:rPr>
        <w:t xml:space="preserve">：PD versus Healthy Subjects; </w:t>
      </w:r>
      <w:r>
        <w:rPr>
          <w:rFonts w:eastAsiaTheme="minorHAnsi" w:hint="eastAsia"/>
          <w:i/>
          <w:iCs/>
          <w:sz w:val="18"/>
          <w:szCs w:val="18"/>
        </w:rPr>
        <w:t>P</w:t>
      </w:r>
      <w:r>
        <w:rPr>
          <w:rFonts w:eastAsiaTheme="minorHAnsi" w:hint="eastAsia"/>
          <w:i/>
          <w:iCs/>
          <w:sz w:val="18"/>
          <w:szCs w:val="18"/>
          <w:vertAlign w:val="subscript"/>
        </w:rPr>
        <w:t>2</w:t>
      </w:r>
      <w:r>
        <w:rPr>
          <w:rFonts w:eastAsiaTheme="minorHAnsi" w:hint="eastAsia"/>
          <w:sz w:val="18"/>
          <w:szCs w:val="18"/>
        </w:rPr>
        <w:t>: MCI versus Healthy Subjects</w:t>
      </w:r>
      <w:r w:rsidR="006A3091">
        <w:rPr>
          <w:rFonts w:eastAsiaTheme="minorHAnsi" w:hint="eastAsia"/>
          <w:sz w:val="18"/>
          <w:szCs w:val="18"/>
        </w:rPr>
        <w:t>.</w:t>
      </w:r>
      <w:r w:rsidR="003623E2">
        <w:rPr>
          <w:rFonts w:eastAsiaTheme="minorHAnsi" w:hint="eastAsia"/>
          <w:sz w:val="18"/>
          <w:szCs w:val="18"/>
        </w:rPr>
        <w:t xml:space="preserve"> All data were reported</w:t>
      </w:r>
      <w:r w:rsidR="004112A4">
        <w:rPr>
          <w:rFonts w:eastAsiaTheme="minorHAnsi" w:hint="eastAsia"/>
          <w:sz w:val="18"/>
          <w:szCs w:val="18"/>
        </w:rPr>
        <w:t xml:space="preserve"> </w:t>
      </w:r>
      <w:r w:rsidR="003623E2">
        <w:rPr>
          <w:rFonts w:eastAsiaTheme="minorHAnsi" w:hint="eastAsia"/>
          <w:sz w:val="18"/>
          <w:szCs w:val="18"/>
        </w:rPr>
        <w:t>as mean±SD.</w:t>
      </w:r>
    </w:p>
    <w:sectPr w:rsidR="00B34EDE" w:rsidRPr="00B34EDE" w:rsidSect="00BB730C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889D3" w14:textId="77777777" w:rsidR="00CE43C4" w:rsidRDefault="00CE43C4">
      <w:pPr>
        <w:rPr>
          <w:rFonts w:hint="eastAsia"/>
        </w:rPr>
      </w:pPr>
      <w:r>
        <w:separator/>
      </w:r>
    </w:p>
  </w:endnote>
  <w:endnote w:type="continuationSeparator" w:id="0">
    <w:p w14:paraId="54912A79" w14:textId="77777777" w:rsidR="00CE43C4" w:rsidRDefault="00CE43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821E0" w14:textId="77777777" w:rsidR="00CE43C4" w:rsidRDefault="00CE43C4">
      <w:pPr>
        <w:rPr>
          <w:rFonts w:hint="eastAsia"/>
        </w:rPr>
      </w:pPr>
      <w:r>
        <w:separator/>
      </w:r>
    </w:p>
  </w:footnote>
  <w:footnote w:type="continuationSeparator" w:id="0">
    <w:p w14:paraId="7BFD2CCA" w14:textId="77777777" w:rsidR="00CE43C4" w:rsidRDefault="00CE43C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BCEA" w14:textId="77777777" w:rsidR="00317EE9" w:rsidRDefault="00317EE9">
    <w:pPr>
      <w:pStyle w:val="a5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7D3E" w14:textId="77777777" w:rsidR="00317EE9" w:rsidRDefault="00317EE9">
    <w:pPr>
      <w:pStyle w:val="a5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522"/>
    <w:rsid w:val="000057C1"/>
    <w:rsid w:val="00012B3B"/>
    <w:rsid w:val="00097E7B"/>
    <w:rsid w:val="000B0C40"/>
    <w:rsid w:val="00124807"/>
    <w:rsid w:val="00142F27"/>
    <w:rsid w:val="001C5AF2"/>
    <w:rsid w:val="001D030D"/>
    <w:rsid w:val="00212435"/>
    <w:rsid w:val="00247739"/>
    <w:rsid w:val="00253039"/>
    <w:rsid w:val="002B2F6F"/>
    <w:rsid w:val="00301212"/>
    <w:rsid w:val="00317EE9"/>
    <w:rsid w:val="00353143"/>
    <w:rsid w:val="003623E2"/>
    <w:rsid w:val="003847BD"/>
    <w:rsid w:val="00396D56"/>
    <w:rsid w:val="003A0BF4"/>
    <w:rsid w:val="00401DFE"/>
    <w:rsid w:val="004112A4"/>
    <w:rsid w:val="0041356A"/>
    <w:rsid w:val="00427717"/>
    <w:rsid w:val="0045254F"/>
    <w:rsid w:val="004617A7"/>
    <w:rsid w:val="00485494"/>
    <w:rsid w:val="00493E95"/>
    <w:rsid w:val="004A3B01"/>
    <w:rsid w:val="004A683B"/>
    <w:rsid w:val="004F6B80"/>
    <w:rsid w:val="005503EB"/>
    <w:rsid w:val="00550A75"/>
    <w:rsid w:val="00570195"/>
    <w:rsid w:val="00580B12"/>
    <w:rsid w:val="005B42DE"/>
    <w:rsid w:val="005C0189"/>
    <w:rsid w:val="005C72E0"/>
    <w:rsid w:val="005E04D0"/>
    <w:rsid w:val="006138ED"/>
    <w:rsid w:val="00635335"/>
    <w:rsid w:val="00683C17"/>
    <w:rsid w:val="00690106"/>
    <w:rsid w:val="0069787A"/>
    <w:rsid w:val="006A3091"/>
    <w:rsid w:val="006A47B3"/>
    <w:rsid w:val="006F2311"/>
    <w:rsid w:val="00715799"/>
    <w:rsid w:val="00736820"/>
    <w:rsid w:val="00742E72"/>
    <w:rsid w:val="007456D4"/>
    <w:rsid w:val="007506C2"/>
    <w:rsid w:val="00774319"/>
    <w:rsid w:val="007900B8"/>
    <w:rsid w:val="007A17FC"/>
    <w:rsid w:val="007A6EAA"/>
    <w:rsid w:val="007A761D"/>
    <w:rsid w:val="007F3632"/>
    <w:rsid w:val="00803A78"/>
    <w:rsid w:val="00873CF5"/>
    <w:rsid w:val="00876B75"/>
    <w:rsid w:val="00883656"/>
    <w:rsid w:val="00886C31"/>
    <w:rsid w:val="008D005D"/>
    <w:rsid w:val="008D04F7"/>
    <w:rsid w:val="008D14AB"/>
    <w:rsid w:val="008D1DE8"/>
    <w:rsid w:val="00904515"/>
    <w:rsid w:val="00904FCC"/>
    <w:rsid w:val="009A0522"/>
    <w:rsid w:val="009B640B"/>
    <w:rsid w:val="009E0568"/>
    <w:rsid w:val="009E2B2D"/>
    <w:rsid w:val="009E2FD4"/>
    <w:rsid w:val="009E52FC"/>
    <w:rsid w:val="009E5B5F"/>
    <w:rsid w:val="00AB1C2A"/>
    <w:rsid w:val="00AC4D48"/>
    <w:rsid w:val="00AD59AB"/>
    <w:rsid w:val="00B026A6"/>
    <w:rsid w:val="00B257D7"/>
    <w:rsid w:val="00B34EDE"/>
    <w:rsid w:val="00B55CE7"/>
    <w:rsid w:val="00B64D2D"/>
    <w:rsid w:val="00B90189"/>
    <w:rsid w:val="00BB730C"/>
    <w:rsid w:val="00BC15A4"/>
    <w:rsid w:val="00BF4081"/>
    <w:rsid w:val="00C1615F"/>
    <w:rsid w:val="00C354E7"/>
    <w:rsid w:val="00C61573"/>
    <w:rsid w:val="00C66EA6"/>
    <w:rsid w:val="00CD79FA"/>
    <w:rsid w:val="00CE43C4"/>
    <w:rsid w:val="00CF19B7"/>
    <w:rsid w:val="00CF3C77"/>
    <w:rsid w:val="00D419FC"/>
    <w:rsid w:val="00D5753A"/>
    <w:rsid w:val="00D57FBA"/>
    <w:rsid w:val="00D82E22"/>
    <w:rsid w:val="00D93AAD"/>
    <w:rsid w:val="00D9420A"/>
    <w:rsid w:val="00DF2F3A"/>
    <w:rsid w:val="00DF7094"/>
    <w:rsid w:val="00E01E0C"/>
    <w:rsid w:val="00E031CC"/>
    <w:rsid w:val="00E05C33"/>
    <w:rsid w:val="00E14530"/>
    <w:rsid w:val="00E34727"/>
    <w:rsid w:val="00E359C4"/>
    <w:rsid w:val="00E47B5B"/>
    <w:rsid w:val="00EA70B6"/>
    <w:rsid w:val="00EE0A87"/>
    <w:rsid w:val="00EE450A"/>
    <w:rsid w:val="00EF13E0"/>
    <w:rsid w:val="00EF6FC8"/>
    <w:rsid w:val="00F46E7E"/>
    <w:rsid w:val="00F60FD4"/>
    <w:rsid w:val="00F71971"/>
    <w:rsid w:val="00F84F27"/>
    <w:rsid w:val="00F876CB"/>
    <w:rsid w:val="00F920F1"/>
    <w:rsid w:val="00FC5F0C"/>
    <w:rsid w:val="00FE78D9"/>
    <w:rsid w:val="2074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4CFCD"/>
  <w15:docId w15:val="{72F6520D-D7D0-46BA-8F69-C9F49D84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uiPriority w:val="99"/>
    <w:unhideWhenUsed/>
    <w:pPr>
      <w:widowControl/>
      <w:jc w:val="left"/>
    </w:pPr>
    <w:rPr>
      <w:rFonts w:cs="Times New Roman"/>
      <w:kern w:val="0"/>
      <w:sz w:val="20"/>
      <w:szCs w:val="20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Pr>
      <w:color w:val="2F5496" w:themeColor="accent1" w:themeShade="BF"/>
      <w:sz w:val="22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aa">
    <w:name w:val="Placeholder Text"/>
    <w:basedOn w:val="a0"/>
    <w:uiPriority w:val="99"/>
    <w:semiHidden/>
    <w:rPr>
      <w:color w:val="80808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character" w:customStyle="1" w:styleId="a8">
    <w:name w:val="脚注文本 字符"/>
    <w:basedOn w:val="a0"/>
    <w:link w:val="a7"/>
    <w:uiPriority w:val="99"/>
    <w:rPr>
      <w:rFonts w:cs="Times New Roman"/>
      <w:kern w:val="0"/>
      <w:sz w:val="20"/>
      <w:szCs w:val="20"/>
    </w:rPr>
  </w:style>
  <w:style w:type="character" w:customStyle="1" w:styleId="1">
    <w:name w:val="不明显强调1"/>
    <w:basedOn w:val="a0"/>
    <w:uiPriority w:val="19"/>
    <w:qFormat/>
    <w:rPr>
      <w:i/>
      <w:iCs/>
    </w:rPr>
  </w:style>
  <w:style w:type="table" w:customStyle="1" w:styleId="41">
    <w:name w:val="无格式表格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无格式表格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1">
    <w:name w:val="无格式表格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F316C-0795-4F48-A0C1-18A97EA7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3378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强</dc:creator>
  <cp:lastModifiedBy>Qiang Liu</cp:lastModifiedBy>
  <cp:revision>30</cp:revision>
  <cp:lastPrinted>2025-12-01T06:44:00Z</cp:lastPrinted>
  <dcterms:created xsi:type="dcterms:W3CDTF">2022-03-28T14:40:00Z</dcterms:created>
  <dcterms:modified xsi:type="dcterms:W3CDTF">2026-01-14T03:34:00Z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eyJoZGlkIjoiMWM1ZTZiNDFkYTkzZjExYTdlM2ExMzQ3M2JiNWVlYmMiLCJ1c2VySWQiOiIyNDMzNzIxNDgifQ==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A7BB63C331444DC4B5B7630B0E7697EA_12</vt:lpwstr>
  </property>
</Properties>
</file>