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24D3" w14:textId="77777777" w:rsidR="00BB7185" w:rsidRPr="00B8481E" w:rsidRDefault="00BB7185" w:rsidP="00BB7185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appendix"/>
      <w:r w:rsidRPr="00B8481E">
        <w:rPr>
          <w:rFonts w:ascii="Times New Roman" w:hAnsi="Times New Roman" w:cs="Times New Roman"/>
          <w:color w:val="auto"/>
          <w:sz w:val="24"/>
          <w:szCs w:val="24"/>
        </w:rPr>
        <w:t>Appendix</w:t>
      </w:r>
    </w:p>
    <w:p w14:paraId="3A24A6F1" w14:textId="77777777" w:rsidR="00BB7185" w:rsidRPr="00B8481E" w:rsidRDefault="00BB7185" w:rsidP="00BB7185">
      <w:pPr>
        <w:pStyle w:val="FirstParagraph"/>
        <w:jc w:val="both"/>
        <w:rPr>
          <w:rFonts w:ascii="Times New Roman" w:hAnsi="Times New Roman" w:cs="Times New Roman"/>
        </w:rPr>
      </w:pPr>
      <w:r w:rsidRPr="00B8481E">
        <w:rPr>
          <w:rFonts w:ascii="Times New Roman" w:hAnsi="Times New Roman" w:cs="Times New Roman"/>
          <w:b/>
          <w:bCs/>
        </w:rPr>
        <w:t>Table 1: Coding frame based on Social Practice Theory (Shove et al. 2012)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63"/>
        <w:gridCol w:w="1897"/>
        <w:gridCol w:w="1951"/>
        <w:gridCol w:w="1830"/>
        <w:gridCol w:w="1909"/>
      </w:tblGrid>
      <w:tr w:rsidR="00BB7185" w:rsidRPr="00B8481E" w14:paraId="289E1713" w14:textId="77777777" w:rsidTr="005473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B2541CB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Derived theme (qualitative variable)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F59E53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Theoretical definition (anchorage)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6BB01A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Inclusion criteria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F3AACD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Exclusion criteria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904CFA0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Sample anchor quote from findings</w:t>
            </w:r>
          </w:p>
        </w:tc>
      </w:tr>
      <w:tr w:rsidR="00BB7185" w:rsidRPr="00B8481E" w14:paraId="59AAC7A6" w14:textId="77777777" w:rsidTr="00547301">
        <w:tc>
          <w:tcPr>
            <w:tcW w:w="0" w:type="auto"/>
          </w:tcPr>
          <w:p w14:paraId="53E8079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Transformation of waste as material resource</w:t>
            </w:r>
          </w:p>
        </w:tc>
        <w:tc>
          <w:tcPr>
            <w:tcW w:w="0" w:type="auto"/>
          </w:tcPr>
          <w:p w14:paraId="07784E4E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Refers to the material dimension of Social Practice Theory, where physical objects and infrastructures shape social practices. Ocean waste becomes a resource rather than refuse.</w:t>
            </w:r>
          </w:p>
        </w:tc>
        <w:tc>
          <w:tcPr>
            <w:tcW w:w="0" w:type="auto"/>
          </w:tcPr>
          <w:p w14:paraId="2D60B20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Statements relating to collection, sorting, reuse, recycling, upcycling, or artistic transformation of marine debris. References to ocean waste as artistic material.</w:t>
            </w:r>
          </w:p>
        </w:tc>
        <w:tc>
          <w:tcPr>
            <w:tcW w:w="0" w:type="auto"/>
          </w:tcPr>
          <w:p w14:paraId="719A3FAE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General comments about pollution that do not mention reuse, transformation, or material value.</w:t>
            </w:r>
          </w:p>
        </w:tc>
        <w:tc>
          <w:tcPr>
            <w:tcW w:w="0" w:type="auto"/>
          </w:tcPr>
          <w:p w14:paraId="4589FC8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“Many participants indicated that the installations reflected realities visible within their own communities and therefore possessed a level of authenticity that strengthened their environmental messages.”</w:t>
            </w:r>
          </w:p>
        </w:tc>
      </w:tr>
      <w:tr w:rsidR="00BB7185" w:rsidRPr="00B8481E" w14:paraId="56691DD2" w14:textId="77777777" w:rsidTr="00547301">
        <w:tc>
          <w:tcPr>
            <w:tcW w:w="0" w:type="auto"/>
          </w:tcPr>
          <w:p w14:paraId="07BA130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Reframing meanings of marine waste</w:t>
            </w:r>
          </w:p>
        </w:tc>
        <w:tc>
          <w:tcPr>
            <w:tcW w:w="0" w:type="auto"/>
          </w:tcPr>
          <w:p w14:paraId="0877F63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Represents the meaning element of SPT whereby cultural and symbolic significance attached to objects and practices changes over time.</w:t>
            </w:r>
          </w:p>
        </w:tc>
        <w:tc>
          <w:tcPr>
            <w:tcW w:w="0" w:type="auto"/>
          </w:tcPr>
          <w:p w14:paraId="7D2C6DB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changed perceptions of waste, environmental responsibility, conservation values, and symbolic meanings attached to artworks.</w:t>
            </w:r>
          </w:p>
        </w:tc>
        <w:tc>
          <w:tcPr>
            <w:tcW w:w="0" w:type="auto"/>
          </w:tcPr>
          <w:p w14:paraId="2C7932D6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Discussions of waste collection without mention of perception, symbolism, or environmental values.</w:t>
            </w:r>
          </w:p>
        </w:tc>
        <w:tc>
          <w:tcPr>
            <w:tcW w:w="0" w:type="auto"/>
          </w:tcPr>
          <w:p w14:paraId="40A0083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“Participants increasingly viewed collected debris as resources capable of carrying educational and symbolic value.”</w:t>
            </w:r>
          </w:p>
        </w:tc>
      </w:tr>
      <w:tr w:rsidR="00BB7185" w:rsidRPr="00B8481E" w14:paraId="0454B152" w14:textId="77777777" w:rsidTr="00547301">
        <w:tc>
          <w:tcPr>
            <w:tcW w:w="0" w:type="auto"/>
          </w:tcPr>
          <w:p w14:paraId="19A9DF54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Music as environmental meaning-making</w:t>
            </w:r>
          </w:p>
        </w:tc>
        <w:tc>
          <w:tcPr>
            <w:tcW w:w="0" w:type="auto"/>
          </w:tcPr>
          <w:p w14:paraId="24E94B6B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The process through which music communicates, reinforces, and circulates environmental meanings within communities.</w:t>
            </w:r>
          </w:p>
        </w:tc>
        <w:tc>
          <w:tcPr>
            <w:tcW w:w="0" w:type="auto"/>
          </w:tcPr>
          <w:p w14:paraId="24FF20AA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 xml:space="preserve">References to songs, musical performances, advocacy messages, cultural communication, awareness campaigns, and environmental </w:t>
            </w:r>
            <w:r w:rsidRPr="00B8481E">
              <w:rPr>
                <w:rFonts w:ascii="Times New Roman" w:hAnsi="Times New Roman" w:cs="Times New Roman"/>
              </w:rPr>
              <w:lastRenderedPageBreak/>
              <w:t>education through music.</w:t>
            </w:r>
          </w:p>
        </w:tc>
        <w:tc>
          <w:tcPr>
            <w:tcW w:w="0" w:type="auto"/>
          </w:tcPr>
          <w:p w14:paraId="6A94D69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>Comments about artistic installations without reference to music or sound-based advocacy.</w:t>
            </w:r>
          </w:p>
        </w:tc>
        <w:tc>
          <w:tcPr>
            <w:tcW w:w="0" w:type="auto"/>
          </w:tcPr>
          <w:p w14:paraId="6AF9984D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 xml:space="preserve">“Participants often engaged more actively during sessions that combined environmental messages with music than during conventional </w:t>
            </w:r>
            <w:r w:rsidRPr="00B8481E">
              <w:rPr>
                <w:rFonts w:ascii="Times New Roman" w:hAnsi="Times New Roman" w:cs="Times New Roman"/>
              </w:rPr>
              <w:lastRenderedPageBreak/>
              <w:t>awareness discussions.”</w:t>
            </w:r>
          </w:p>
        </w:tc>
      </w:tr>
      <w:tr w:rsidR="00BB7185" w:rsidRPr="00B8481E" w14:paraId="16CF31B4" w14:textId="77777777" w:rsidTr="00547301">
        <w:tc>
          <w:tcPr>
            <w:tcW w:w="0" w:type="auto"/>
          </w:tcPr>
          <w:p w14:paraId="4023474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>Development of environmental competencies</w:t>
            </w:r>
          </w:p>
        </w:tc>
        <w:tc>
          <w:tcPr>
            <w:tcW w:w="0" w:type="auto"/>
          </w:tcPr>
          <w:p w14:paraId="2471E98D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Refers to the acquisition of knowledge, skills, and capabilities necessary to perform sustainable practices.</w:t>
            </w:r>
          </w:p>
        </w:tc>
        <w:tc>
          <w:tcPr>
            <w:tcW w:w="0" w:type="auto"/>
          </w:tcPr>
          <w:p w14:paraId="411984A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Statements about learning, awareness, environmental education, waste management skills, artistic skills, conservation knowledge, or blue economy understanding.</w:t>
            </w:r>
          </w:p>
        </w:tc>
        <w:tc>
          <w:tcPr>
            <w:tcW w:w="0" w:type="auto"/>
          </w:tcPr>
          <w:p w14:paraId="0B0246D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General attitudes toward conservation without evidence of learning or skill acquisition.</w:t>
            </w:r>
          </w:p>
        </w:tc>
        <w:tc>
          <w:tcPr>
            <w:tcW w:w="0" w:type="auto"/>
          </w:tcPr>
          <w:p w14:paraId="7163A57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“Participants learned proper waste management practices, gained knowledge about marine conservation, and developed skills for transforming discarded materials into artistic expressions.”</w:t>
            </w:r>
          </w:p>
        </w:tc>
      </w:tr>
      <w:tr w:rsidR="00BB7185" w:rsidRPr="00B8481E" w14:paraId="77E92C4C" w14:textId="77777777" w:rsidTr="00547301">
        <w:tc>
          <w:tcPr>
            <w:tcW w:w="0" w:type="auto"/>
          </w:tcPr>
          <w:p w14:paraId="25B282DC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Participatory environmental stewardship</w:t>
            </w:r>
          </w:p>
        </w:tc>
        <w:tc>
          <w:tcPr>
            <w:tcW w:w="0" w:type="auto"/>
          </w:tcPr>
          <w:p w14:paraId="4C52FBCD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Social practices are reinforced through collective participation and shared action within communities.</w:t>
            </w:r>
          </w:p>
        </w:tc>
        <w:tc>
          <w:tcPr>
            <w:tcW w:w="0" w:type="auto"/>
          </w:tcPr>
          <w:p w14:paraId="2692C50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community involvement, volunteer participation, collaborative clean-ups, stakeholder engagement, and collective responsibility.</w:t>
            </w:r>
          </w:p>
        </w:tc>
        <w:tc>
          <w:tcPr>
            <w:tcW w:w="0" w:type="auto"/>
          </w:tcPr>
          <w:p w14:paraId="679EA544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Individual opinions that do not involve participation or collective action.</w:t>
            </w:r>
          </w:p>
        </w:tc>
        <w:tc>
          <w:tcPr>
            <w:tcW w:w="0" w:type="auto"/>
          </w:tcPr>
          <w:p w14:paraId="4C371338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“Community members who participated in awareness campaigns, clean-up exercises, or artistic activities frequently expressed a stronger interest in discussions about environmental management than individuals who engaged only as observers.”</w:t>
            </w:r>
          </w:p>
        </w:tc>
      </w:tr>
      <w:tr w:rsidR="00BB7185" w:rsidRPr="00B8481E" w14:paraId="488CFFE1" w14:textId="77777777" w:rsidTr="00547301">
        <w:tc>
          <w:tcPr>
            <w:tcW w:w="0" w:type="auto"/>
          </w:tcPr>
          <w:p w14:paraId="47556176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Community ownership of environmental initiatives</w:t>
            </w:r>
          </w:p>
        </w:tc>
        <w:tc>
          <w:tcPr>
            <w:tcW w:w="0" w:type="auto"/>
          </w:tcPr>
          <w:p w14:paraId="3188BD77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 xml:space="preserve">The process through which communities internalise and assume responsibility for environmental </w:t>
            </w:r>
            <w:r w:rsidRPr="00B8481E">
              <w:rPr>
                <w:rFonts w:ascii="Times New Roman" w:hAnsi="Times New Roman" w:cs="Times New Roman"/>
              </w:rPr>
              <w:lastRenderedPageBreak/>
              <w:t>practices and interventions.</w:t>
            </w:r>
          </w:p>
        </w:tc>
        <w:tc>
          <w:tcPr>
            <w:tcW w:w="0" w:type="auto"/>
          </w:tcPr>
          <w:p w14:paraId="65D950A6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 xml:space="preserve">References to local support, acceptance of project goals, willingness to sustain interventions, or community </w:t>
            </w:r>
            <w:r w:rsidRPr="00B8481E">
              <w:rPr>
                <w:rFonts w:ascii="Times New Roman" w:hAnsi="Times New Roman" w:cs="Times New Roman"/>
              </w:rPr>
              <w:lastRenderedPageBreak/>
              <w:t>responsibility for conservation efforts.</w:t>
            </w:r>
          </w:p>
        </w:tc>
        <w:tc>
          <w:tcPr>
            <w:tcW w:w="0" w:type="auto"/>
          </w:tcPr>
          <w:p w14:paraId="5CF7E90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>Discussions focused solely on project implementation without community commitment or ownership.</w:t>
            </w:r>
          </w:p>
        </w:tc>
        <w:tc>
          <w:tcPr>
            <w:tcW w:w="0" w:type="auto"/>
          </w:tcPr>
          <w:p w14:paraId="2DB309D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 xml:space="preserve">“Community leaders and residents viewed the bins as practical resources that could support efforts to reduce </w:t>
            </w:r>
            <w:r w:rsidRPr="00B8481E">
              <w:rPr>
                <w:rFonts w:ascii="Times New Roman" w:hAnsi="Times New Roman" w:cs="Times New Roman"/>
              </w:rPr>
              <w:lastRenderedPageBreak/>
              <w:t>indiscriminate waste disposal.”</w:t>
            </w:r>
          </w:p>
        </w:tc>
      </w:tr>
      <w:tr w:rsidR="00BB7185" w:rsidRPr="00B8481E" w14:paraId="6FCEF266" w14:textId="77777777" w:rsidTr="00547301">
        <w:tc>
          <w:tcPr>
            <w:tcW w:w="0" w:type="auto"/>
          </w:tcPr>
          <w:p w14:paraId="644129DC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>Blue economy awareness and environmental sustainability</w:t>
            </w:r>
          </w:p>
        </w:tc>
        <w:tc>
          <w:tcPr>
            <w:tcW w:w="0" w:type="auto"/>
          </w:tcPr>
          <w:p w14:paraId="32EFD5E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The emergence of new understandings linking environmental protection with economic and social wellbeing.</w:t>
            </w:r>
          </w:p>
        </w:tc>
        <w:tc>
          <w:tcPr>
            <w:tcW w:w="0" w:type="auto"/>
          </w:tcPr>
          <w:p w14:paraId="35EEF2B7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Statements connecting conservation to fisheries, tourism, livelihoods, economic opportunities, community development, or blue economy advocacy.</w:t>
            </w:r>
          </w:p>
        </w:tc>
        <w:tc>
          <w:tcPr>
            <w:tcW w:w="0" w:type="auto"/>
          </w:tcPr>
          <w:p w14:paraId="2AE2157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environmental protection without mention of socio-economic implications.</w:t>
            </w:r>
          </w:p>
        </w:tc>
        <w:tc>
          <w:tcPr>
            <w:tcW w:w="0" w:type="auto"/>
          </w:tcPr>
          <w:p w14:paraId="3E5F79C3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“Participants increasingly recognised the importance of protecting marine ecosystems as a foundation for fisheries, tourism, cultural heritage preservation, and community livelihoods.”</w:t>
            </w:r>
          </w:p>
        </w:tc>
      </w:tr>
      <w:tr w:rsidR="00BB7185" w:rsidRPr="00B8481E" w14:paraId="7836FB4F" w14:textId="77777777" w:rsidTr="00547301">
        <w:tc>
          <w:tcPr>
            <w:tcW w:w="0" w:type="auto"/>
          </w:tcPr>
          <w:p w14:paraId="7136149C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Public art as environmental communication</w:t>
            </w:r>
          </w:p>
        </w:tc>
        <w:tc>
          <w:tcPr>
            <w:tcW w:w="0" w:type="auto"/>
          </w:tcPr>
          <w:p w14:paraId="42C191B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Artworks function as communicative infrastructures that transmit environmental meanings and influence social practices.</w:t>
            </w:r>
          </w:p>
        </w:tc>
        <w:tc>
          <w:tcPr>
            <w:tcW w:w="0" w:type="auto"/>
          </w:tcPr>
          <w:p w14:paraId="16FF183B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installations, exhibitions, visual advocacy, symbolism, public engagement through art, and environmental messaging.</w:t>
            </w:r>
          </w:p>
        </w:tc>
        <w:tc>
          <w:tcPr>
            <w:tcW w:w="0" w:type="auto"/>
          </w:tcPr>
          <w:p w14:paraId="53515C9C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Discussions of artistic production solely as aesthetic activity without conservation messaging.</w:t>
            </w:r>
          </w:p>
        </w:tc>
        <w:tc>
          <w:tcPr>
            <w:tcW w:w="0" w:type="auto"/>
          </w:tcPr>
          <w:p w14:paraId="735AA9F4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“The artworks were viewed as visual reminders of the consequences of marine pollution and the importance of environmental stewardship.”</w:t>
            </w:r>
          </w:p>
        </w:tc>
      </w:tr>
      <w:tr w:rsidR="00BB7185" w:rsidRPr="00B8481E" w14:paraId="0D007D31" w14:textId="77777777" w:rsidTr="00547301">
        <w:tc>
          <w:tcPr>
            <w:tcW w:w="0" w:type="auto"/>
          </w:tcPr>
          <w:p w14:paraId="705407B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Environmental infrastructure and behavioural support</w:t>
            </w:r>
          </w:p>
        </w:tc>
        <w:tc>
          <w:tcPr>
            <w:tcW w:w="0" w:type="auto"/>
          </w:tcPr>
          <w:p w14:paraId="62B83D8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Material infrastructures influence the performance and sustainability of environmental practices.</w:t>
            </w:r>
          </w:p>
        </w:tc>
        <w:tc>
          <w:tcPr>
            <w:tcW w:w="0" w:type="auto"/>
          </w:tcPr>
          <w:p w14:paraId="511E879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waste bins, clean-up tools, environmental facilities, disposal systems, or practical supports for conservation behaviour.</w:t>
            </w:r>
          </w:p>
        </w:tc>
        <w:tc>
          <w:tcPr>
            <w:tcW w:w="0" w:type="auto"/>
          </w:tcPr>
          <w:p w14:paraId="1B439FBE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General environmental awareness discussions lacking infrastructure or material support components.</w:t>
            </w:r>
          </w:p>
        </w:tc>
        <w:tc>
          <w:tcPr>
            <w:tcW w:w="0" w:type="auto"/>
          </w:tcPr>
          <w:p w14:paraId="0C53FC3E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“Participants frequently noted that environmental awareness campaigns are more effective when accompanied by tangible infrastructure that enables communities to act upon newly acquired knowledge.”</w:t>
            </w:r>
          </w:p>
        </w:tc>
      </w:tr>
      <w:tr w:rsidR="00BB7185" w:rsidRPr="00B8481E" w14:paraId="5C2427D5" w14:textId="77777777" w:rsidTr="00547301">
        <w:tc>
          <w:tcPr>
            <w:tcW w:w="0" w:type="auto"/>
          </w:tcPr>
          <w:p w14:paraId="66CF69C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lastRenderedPageBreak/>
              <w:t>Place-based environmental identity</w:t>
            </w:r>
          </w:p>
        </w:tc>
        <w:tc>
          <w:tcPr>
            <w:tcW w:w="0" w:type="auto"/>
          </w:tcPr>
          <w:p w14:paraId="3E1A2B9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The attachment of environmental meanings to specific locations, landscapes, histories, and cultural identities.</w:t>
            </w:r>
          </w:p>
        </w:tc>
        <w:tc>
          <w:tcPr>
            <w:tcW w:w="0" w:type="auto"/>
          </w:tcPr>
          <w:p w14:paraId="0D065AEE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References to beaches, coastal heritage, local identity, historical significance, community visibility, and environmental pride.</w:t>
            </w:r>
          </w:p>
        </w:tc>
        <w:tc>
          <w:tcPr>
            <w:tcW w:w="0" w:type="auto"/>
          </w:tcPr>
          <w:p w14:paraId="47DB1C9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Statements about environmental issues that do not relate to place, heritage, or identity.</w:t>
            </w:r>
          </w:p>
        </w:tc>
        <w:tc>
          <w:tcPr>
            <w:tcW w:w="0" w:type="auto"/>
          </w:tcPr>
          <w:p w14:paraId="3BE5060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“Many participants viewed the artworks as opportunities to create lasting symbols of environmental consciousness within their communities.”</w:t>
            </w:r>
          </w:p>
        </w:tc>
      </w:tr>
      <w:tr w:rsidR="00BB7185" w:rsidRPr="00B8481E" w14:paraId="2405FE46" w14:textId="77777777" w:rsidTr="00547301">
        <w:tc>
          <w:tcPr>
            <w:tcW w:w="0" w:type="auto"/>
          </w:tcPr>
          <w:p w14:paraId="7218FD8D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C40EFF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80216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8D70C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2CB41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F87915" w14:textId="77777777" w:rsidR="00BB7185" w:rsidRPr="00B8481E" w:rsidRDefault="00BB7185" w:rsidP="00BB7185">
      <w:pPr>
        <w:pStyle w:val="BodyText"/>
        <w:jc w:val="both"/>
        <w:rPr>
          <w:rFonts w:ascii="Times New Roman" w:hAnsi="Times New Roman" w:cs="Times New Roman"/>
        </w:rPr>
      </w:pPr>
      <w:r w:rsidRPr="00B8481E">
        <w:rPr>
          <w:rFonts w:ascii="Times New Roman" w:hAnsi="Times New Roman" w:cs="Times New Roman"/>
          <w:b/>
          <w:bCs/>
        </w:rPr>
        <w:t>Table 2: Relationship between codes and Social Practice Theory dimensions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620"/>
        <w:gridCol w:w="7730"/>
      </w:tblGrid>
      <w:tr w:rsidR="00BB7185" w:rsidRPr="00B8481E" w14:paraId="1CC9E404" w14:textId="77777777" w:rsidTr="005473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1B49D03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SPT dimension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9C52FDB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Associated codes</w:t>
            </w:r>
          </w:p>
        </w:tc>
      </w:tr>
      <w:tr w:rsidR="00BB7185" w:rsidRPr="00B8481E" w14:paraId="1EDB5346" w14:textId="77777777" w:rsidTr="00547301">
        <w:tc>
          <w:tcPr>
            <w:tcW w:w="0" w:type="auto"/>
          </w:tcPr>
          <w:p w14:paraId="083D1FE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0" w:type="auto"/>
          </w:tcPr>
          <w:p w14:paraId="2BFCDDF2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Transformation of waste as material resource; Environmental infrastructure and behavioural support; Public art as environmental communication</w:t>
            </w:r>
          </w:p>
        </w:tc>
      </w:tr>
      <w:tr w:rsidR="00BB7185" w:rsidRPr="00B8481E" w14:paraId="3C4E90A7" w14:textId="77777777" w:rsidTr="00547301">
        <w:tc>
          <w:tcPr>
            <w:tcW w:w="0" w:type="auto"/>
          </w:tcPr>
          <w:p w14:paraId="5F166D69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Meanings</w:t>
            </w:r>
          </w:p>
        </w:tc>
        <w:tc>
          <w:tcPr>
            <w:tcW w:w="0" w:type="auto"/>
          </w:tcPr>
          <w:p w14:paraId="7A702BD5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Reframing meanings of marine waste; Music as environmental meaning-making; Blue economy awareness and environmental sustainability; Place-based environmental identity</w:t>
            </w:r>
          </w:p>
        </w:tc>
      </w:tr>
      <w:tr w:rsidR="00BB7185" w:rsidRPr="00B8481E" w14:paraId="1FEEB8F0" w14:textId="77777777" w:rsidTr="00547301">
        <w:tc>
          <w:tcPr>
            <w:tcW w:w="0" w:type="auto"/>
          </w:tcPr>
          <w:p w14:paraId="2D101D54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Competencies</w:t>
            </w:r>
          </w:p>
        </w:tc>
        <w:tc>
          <w:tcPr>
            <w:tcW w:w="0" w:type="auto"/>
          </w:tcPr>
          <w:p w14:paraId="5E41DE01" w14:textId="77777777" w:rsidR="00BB7185" w:rsidRPr="00B8481E" w:rsidRDefault="00BB7185" w:rsidP="00547301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B8481E">
              <w:rPr>
                <w:rFonts w:ascii="Times New Roman" w:hAnsi="Times New Roman" w:cs="Times New Roman"/>
              </w:rPr>
              <w:t>Development of environmental competencies; Participatory environmental stewardship; Community ownership of environmental initiatives</w:t>
            </w:r>
          </w:p>
        </w:tc>
      </w:tr>
      <w:bookmarkEnd w:id="0"/>
    </w:tbl>
    <w:p w14:paraId="24398A3C" w14:textId="77777777" w:rsidR="00BB7185" w:rsidRPr="00B8481E" w:rsidRDefault="00BB7185" w:rsidP="00BB7185">
      <w:pPr>
        <w:jc w:val="both"/>
        <w:rPr>
          <w:rFonts w:ascii="Times New Roman" w:hAnsi="Times New Roman" w:cs="Times New Roman"/>
        </w:rPr>
      </w:pPr>
    </w:p>
    <w:p w14:paraId="4E78D85E" w14:textId="77777777" w:rsidR="00E023F9" w:rsidRDefault="00E023F9"/>
    <w:sectPr w:rsidR="00E023F9" w:rsidSect="00BB7185">
      <w:footerReference w:type="default" r:id="rId4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286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356FA" w14:textId="77777777" w:rsidR="00BB7185" w:rsidRDefault="00BB71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CBF10" w14:textId="77777777" w:rsidR="00BB7185" w:rsidRDefault="00BB718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85"/>
    <w:rsid w:val="000C4033"/>
    <w:rsid w:val="00173ED8"/>
    <w:rsid w:val="002F50B1"/>
    <w:rsid w:val="004B42CB"/>
    <w:rsid w:val="005F2B46"/>
    <w:rsid w:val="006D65BE"/>
    <w:rsid w:val="006E1731"/>
    <w:rsid w:val="00866D74"/>
    <w:rsid w:val="00882A73"/>
    <w:rsid w:val="00906905"/>
    <w:rsid w:val="0095305D"/>
    <w:rsid w:val="00B10170"/>
    <w:rsid w:val="00B260B7"/>
    <w:rsid w:val="00B85331"/>
    <w:rsid w:val="00BB718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2D2D"/>
  <w15:chartTrackingRefBased/>
  <w15:docId w15:val="{80608153-98A4-4D72-AEB9-87999A27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185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1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1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1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1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1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1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1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1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1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1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1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1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185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18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BB7185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B7185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BB7185"/>
  </w:style>
  <w:style w:type="paragraph" w:customStyle="1" w:styleId="Compact">
    <w:name w:val="Compact"/>
    <w:basedOn w:val="BodyText"/>
    <w:qFormat/>
    <w:rsid w:val="00BB7185"/>
    <w:pPr>
      <w:spacing w:before="36" w:after="36"/>
    </w:pPr>
  </w:style>
  <w:style w:type="table" w:customStyle="1" w:styleId="Table">
    <w:name w:val="Table"/>
    <w:semiHidden/>
    <w:unhideWhenUsed/>
    <w:qFormat/>
    <w:rsid w:val="00BB7185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Footer">
    <w:name w:val="footer"/>
    <w:basedOn w:val="Normal"/>
    <w:link w:val="FooterChar"/>
    <w:uiPriority w:val="99"/>
    <w:rsid w:val="00BB718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7185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2026-08-03T07:42:00Z</dcterms:created>
  <dcterms:modified xsi:type="dcterms:W3CDTF">2026-08-03T07:42:00Z</dcterms:modified>
</cp:coreProperties>
</file>