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278" w:rsidRPr="00081DD6" w:rsidRDefault="00EE71A5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E7278" w:rsidRPr="00081DD6" w:rsidRDefault="003E7278" w:rsidP="003E7278">
      <w:pPr>
        <w:spacing w:after="20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Supplementary Information</w:t>
      </w:r>
    </w:p>
    <w:p w:rsidR="002762FD" w:rsidRDefault="003E7278" w:rsidP="002762F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Tipping points in gut ecology: a hidden resilience deficit in industrialised microbiomes</w:t>
      </w:r>
      <w:r>
        <w:rPr>
          <w:rFonts w:asciiTheme="minorHAnsi" w:hAnsiTheme="minorHAnsi" w:cstheme="minorHAnsi"/>
          <w:sz w:val="20"/>
          <w:szCs w:val="20"/>
        </w:rPr>
        <w:br/>
        <w:t xml:space="preserve">Ogochukwu Ofordile Stercora Biosciences Inc., Delaware, USA </w:t>
      </w:r>
    </w:p>
    <w:p w:rsidR="003E7278" w:rsidRDefault="003E7278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MRC Unit </w:t>
      </w:r>
      <w:proofErr w:type="gramStart"/>
      <w:r>
        <w:rPr>
          <w:rFonts w:asciiTheme="minorHAnsi" w:hAnsiTheme="minorHAnsi" w:cstheme="minorHAnsi"/>
          <w:sz w:val="20"/>
          <w:szCs w:val="20"/>
        </w:rPr>
        <w:t>The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Gambia at the London School of Hygiene &amp; Tropical Medicine, Banjul, The Gambia</w:t>
      </w:r>
    </w:p>
    <w:p w:rsidR="00560BED" w:rsidRPr="00081DD6" w:rsidRDefault="00EE71A5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3E7278" w:rsidRPr="00081DD6" w:rsidRDefault="003E7278" w:rsidP="003E7278">
      <w:pPr>
        <w:pStyle w:val="Heading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Supplementary Tables</w:t>
      </w:r>
    </w:p>
    <w:p w:rsidR="003E7278" w:rsidRPr="00081DD6" w:rsidRDefault="003E7278" w:rsidP="003E7278">
      <w:pPr>
        <w:spacing w:before="200" w:after="1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Supplementary Table 1 | Genus-level richness by illness status at Day 85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2F4F7F"/>
          <w:bottom w:val="single" w:sz="4" w:space="0" w:color="2F4F7F"/>
          <w:insideH w:val="single" w:sz="1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424"/>
        <w:gridCol w:w="626"/>
        <w:gridCol w:w="545"/>
        <w:gridCol w:w="691"/>
        <w:gridCol w:w="1043"/>
        <w:gridCol w:w="626"/>
      </w:tblGrid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Illness status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t (df)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p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 ill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103.06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25.28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105.0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3.531 (208.4)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0.0005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Ill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93.90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25.47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96.0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7278" w:rsidRPr="00FA564D" w:rsidTr="00DB0160">
        <w:tc>
          <w:tcPr>
            <w:tcW w:w="0" w:type="auto"/>
            <w:gridSpan w:val="7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DB016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Cohen's d = 0.36. Welch two-sample t-test. Timepoint: Day 85.</w:t>
            </w:r>
          </w:p>
        </w:tc>
      </w:tr>
    </w:tbl>
    <w:p w:rsidR="003E7278" w:rsidRPr="00081DD6" w:rsidRDefault="00DB0160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textWrapping" w:clear="all"/>
      </w:r>
    </w:p>
    <w:p w:rsidR="003E7278" w:rsidRPr="00081DD6" w:rsidRDefault="003E7278" w:rsidP="003E7278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Supplementary Table 2 | Shannon diversity by illness status at Day 85</w:t>
      </w:r>
    </w:p>
    <w:tbl>
      <w:tblPr>
        <w:tblW w:w="0" w:type="auto"/>
        <w:tblBorders>
          <w:top w:val="single" w:sz="4" w:space="0" w:color="2F4F7F"/>
          <w:bottom w:val="single" w:sz="4" w:space="0" w:color="2F4F7F"/>
          <w:insideH w:val="single" w:sz="1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894"/>
        <w:gridCol w:w="1321"/>
        <w:gridCol w:w="1321"/>
        <w:gridCol w:w="1458"/>
        <w:gridCol w:w="2248"/>
        <w:gridCol w:w="1150"/>
      </w:tblGrid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Illness status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Mean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SD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Median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t (df)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p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Not ill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2.2509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0.4385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2.1945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−0.456 (267.0)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0.649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Ill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2.2715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0.4522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2.2738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E7278" w:rsidRPr="00FA564D" w:rsidTr="00DB0160">
        <w:tc>
          <w:tcPr>
            <w:tcW w:w="0" w:type="auto"/>
            <w:gridSpan w:val="7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Cohen's d = 0.046. Note: ill children have marginally higher Shannon (direction reversed). AUC richness = 0.605 (95% CI 0.548–0.662) vs AUC Shannon = 0.521 (0.463–0.578), DeLong p = 0.104.</w:t>
            </w:r>
          </w:p>
        </w:tc>
      </w:tr>
    </w:tbl>
    <w:p w:rsidR="003E7278" w:rsidRPr="00081DD6" w:rsidRDefault="003E7278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</w:p>
    <w:p w:rsidR="003E7278" w:rsidRPr="00081DD6" w:rsidRDefault="003E7278" w:rsidP="003E7278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Supplementary Table 3 | Negative binomial models: P. stercorea → ARI frequency (Day 85)</w:t>
      </w:r>
    </w:p>
    <w:tbl>
      <w:tblPr>
        <w:tblW w:w="0" w:type="auto"/>
        <w:tblBorders>
          <w:top w:val="single" w:sz="4" w:space="0" w:color="2F4F7F"/>
          <w:bottom w:val="single" w:sz="4" w:space="0" w:color="2F4F7F"/>
          <w:insideH w:val="single" w:sz="1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89"/>
        <w:gridCol w:w="1148"/>
        <w:gridCol w:w="1018"/>
        <w:gridCol w:w="1018"/>
        <w:gridCol w:w="1343"/>
        <w:gridCol w:w="1392"/>
        <w:gridCol w:w="886"/>
      </w:tblGrid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Model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β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SE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IRR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95% CI low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95% CI high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p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Total (no richness adjustment)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−0.0556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0.0182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0.9459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0.9130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0.9806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0.002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Direct (richness-adjusted)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−0.0594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0.0194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0.9423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0.9073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0.9791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0.002</w:t>
            </w:r>
          </w:p>
        </w:tc>
      </w:tr>
      <w:tr w:rsidR="003E7278" w:rsidRPr="00FA564D" w:rsidTr="00DB0160">
        <w:tc>
          <w:tcPr>
            <w:tcW w:w="0" w:type="auto"/>
            <w:gridSpan w:val="8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Covariates: age at enrolment, sex, HAZ. ARI frequency capped at 5 episodes. The near-identical β across total and richness-adjusted models (0.0556 vs 0.0594) confirms richness independence of the P. stercorea–ARI association.</w:t>
            </w:r>
          </w:p>
        </w:tc>
      </w:tr>
    </w:tbl>
    <w:p w:rsidR="003E7278" w:rsidRPr="00081DD6" w:rsidRDefault="003E7278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</w:p>
    <w:p w:rsidR="003E7278" w:rsidRPr="00081DD6" w:rsidRDefault="003E7278" w:rsidP="003E7278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Supplementary Table 4 | Joint species model: P. stercorea and P. copri → ARI frequency (Day 85)</w:t>
      </w:r>
    </w:p>
    <w:tbl>
      <w:tblPr>
        <w:tblW w:w="0" w:type="auto"/>
        <w:tblBorders>
          <w:top w:val="single" w:sz="4" w:space="0" w:color="2F4F7F"/>
          <w:bottom w:val="single" w:sz="4" w:space="0" w:color="2F4F7F"/>
          <w:insideH w:val="single" w:sz="1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6"/>
        <w:gridCol w:w="622"/>
        <w:gridCol w:w="1036"/>
        <w:gridCol w:w="919"/>
        <w:gridCol w:w="919"/>
        <w:gridCol w:w="1327"/>
        <w:gridCol w:w="1389"/>
        <w:gridCol w:w="800"/>
      </w:tblGrid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Term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β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SE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IRR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95% CI low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95% CI high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p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P. stercorea (log)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−0.0507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0.0192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0.9505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0.9159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0.9874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0.008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P. copri (log)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447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−0.0286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0.0326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0.9718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0.9134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1.0383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0.381</w:t>
            </w:r>
          </w:p>
        </w:tc>
      </w:tr>
      <w:tr w:rsidR="003E7278" w:rsidRPr="00FA564D" w:rsidTr="00DB0160">
        <w:tc>
          <w:tcPr>
            <w:tcW w:w="0" w:type="auto"/>
            <w:gridSpan w:val="8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Inter-species correlation r = 0.32 (rules out collinearity). Both species included simultaneously. Covariates: age at enrolment, sex, HAZ.</w:t>
            </w:r>
          </w:p>
        </w:tc>
      </w:tr>
    </w:tbl>
    <w:p w:rsidR="003E7278" w:rsidRPr="00081DD6" w:rsidRDefault="003E7278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</w:p>
    <w:p w:rsidR="003E7278" w:rsidRPr="00081DD6" w:rsidRDefault="003E7278" w:rsidP="003E7278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Supplementary Table 5 | Mediation analysis: proportion of P. stercorea–ARI association mediated by genus-level richness</w:t>
      </w:r>
    </w:p>
    <w:tbl>
      <w:tblPr>
        <w:tblW w:w="0" w:type="auto"/>
        <w:tblBorders>
          <w:top w:val="single" w:sz="4" w:space="0" w:color="2F4F7F"/>
          <w:bottom w:val="single" w:sz="4" w:space="0" w:color="2F4F7F"/>
          <w:insideH w:val="single" w:sz="1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5"/>
        <w:gridCol w:w="1388"/>
        <w:gridCol w:w="1347"/>
        <w:gridCol w:w="1147"/>
        <w:gridCol w:w="1529"/>
        <w:gridCol w:w="2058"/>
        <w:gridCol w:w="1152"/>
      </w:tblGrid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Path a (β)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Path b (β)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NIE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Total effect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Prop. mediated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Sobel p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ARI frequency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2.4277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0.001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0.0024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−0.039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~0.6% (negative)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n/s</w:t>
            </w:r>
          </w:p>
        </w:tc>
      </w:tr>
      <w:tr w:rsidR="003E7278" w:rsidRPr="00FA564D" w:rsidTr="00DB0160">
        <w:tc>
          <w:tcPr>
            <w:tcW w:w="0" w:type="auto"/>
            <w:gridSpan w:val="7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Path a: P. stercorea → richness. Path b: richness → ARI frequency (adjusting for P. stercorea). NIE = path a × path b. The near-zero path b confirms richness does not mediate the ARI-protective association; the negative proportion indicates richness acts as a mild suppressor. Covariates: age, sex, HAZ.</w:t>
            </w:r>
          </w:p>
        </w:tc>
      </w:tr>
    </w:tbl>
    <w:p w:rsidR="00B43FD4" w:rsidRDefault="00B43FD4" w:rsidP="003E7278">
      <w:pPr>
        <w:spacing w:before="100" w:after="100"/>
        <w:rPr>
          <w:rFonts w:asciiTheme="minorHAnsi" w:hAnsiTheme="minorHAnsi" w:cstheme="minorHAnsi"/>
          <w:sz w:val="20"/>
          <w:szCs w:val="20"/>
        </w:rPr>
      </w:pPr>
    </w:p>
    <w:p w:rsidR="00951658" w:rsidRDefault="00951658" w:rsidP="003E7278">
      <w:pPr>
        <w:spacing w:before="100" w:after="100"/>
        <w:rPr>
          <w:rFonts w:asciiTheme="minorHAnsi" w:hAnsiTheme="minorHAnsi" w:cstheme="minorHAnsi"/>
          <w:b/>
          <w:bCs/>
          <w:sz w:val="20"/>
          <w:szCs w:val="20"/>
        </w:rPr>
      </w:pPr>
    </w:p>
    <w:p w:rsidR="00951658" w:rsidRDefault="00951658" w:rsidP="003E7278">
      <w:pPr>
        <w:spacing w:before="100" w:after="100"/>
        <w:rPr>
          <w:rFonts w:asciiTheme="minorHAnsi" w:hAnsiTheme="minorHAnsi" w:cstheme="minorHAnsi"/>
          <w:b/>
          <w:bCs/>
          <w:sz w:val="20"/>
          <w:szCs w:val="20"/>
        </w:rPr>
      </w:pPr>
    </w:p>
    <w:p w:rsidR="003E7278" w:rsidRPr="00081DD6" w:rsidRDefault="003E7278" w:rsidP="003E7278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Supplementary Table 6 | P. stercorea (Day 85) → inflammatory biomarkers (Day 1) stratified by nutritional status</w:t>
      </w:r>
    </w:p>
    <w:p w:rsidR="003E7278" w:rsidRPr="00081DD6" w:rsidRDefault="003E7278" w:rsidP="003E7278">
      <w:p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Exposure: Day 85 P. stercorea abundance (primary microbiome timepoint). Outcome: Day 1 biomarkers (prospective baseline, pre-illness). This design ensures the association is prospective and unconfounded by illness status. Covariates: HAZ at enrolment, age at sampling, sex.</w:t>
      </w:r>
    </w:p>
    <w:tbl>
      <w:tblPr>
        <w:tblW w:w="0" w:type="auto"/>
        <w:tblBorders>
          <w:top w:val="single" w:sz="4" w:space="0" w:color="2F4F7F"/>
          <w:bottom w:val="single" w:sz="4" w:space="0" w:color="2F4F7F"/>
          <w:insideH w:val="single" w:sz="1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2876"/>
        <w:gridCol w:w="677"/>
        <w:gridCol w:w="1128"/>
        <w:gridCol w:w="1000"/>
        <w:gridCol w:w="1325"/>
        <w:gridCol w:w="1319"/>
        <w:gridCol w:w="871"/>
      </w:tblGrid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Stratum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β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SE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95% CI low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95% CI high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p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log CRP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High WAZ (better nourished)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+0.0641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0.0303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0.0038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0.1245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0.037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log CRP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Low WAZ (more malnourished)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−0.0179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0.0192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−0.0557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0.0199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0.352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log AGP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High WAZ (better nourished)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+0.0179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0.0064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0.0051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0.0307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0.007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log AGP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Low WAZ (more malnourished)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−0.0073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0.0041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−0.0154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0.0008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0.076</w:t>
            </w:r>
          </w:p>
        </w:tc>
      </w:tr>
      <w:tr w:rsidR="003E7278" w:rsidRPr="00FA564D" w:rsidTr="00DB0160">
        <w:tc>
          <w:tcPr>
            <w:tcW w:w="0" w:type="auto"/>
            <w:gridSpan w:val="8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WAZ split at median (−1.0); n = 200 Low WAZ, n = 84 High WAZ. Covariates: HAZ, age at sampling, sex. BH q (Family 1, 8 stratum-level tests): High WAZ AGP q = 0.032; High WAZ</w:t>
            </w:r>
            <w:r w:rsidR="00EE71A5">
              <w:rPr>
                <w:rFonts w:asciiTheme="minorHAnsi" w:hAnsiTheme="minorHAnsi" w:cstheme="minorHAnsi"/>
                <w:sz w:val="16"/>
                <w:szCs w:val="16"/>
              </w:rPr>
              <w:t xml:space="preserve"> CRP q = 0.075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16"/>
                <w:szCs w:val="16"/>
              </w:rPr>
              <w:t>; Low WAZ null. BH q (Family 2, 4 interaction tests): CRP q = 0.001; AGP q &lt; 0.001.</w:t>
            </w:r>
          </w:p>
        </w:tc>
      </w:tr>
    </w:tbl>
    <w:p w:rsidR="003E7278" w:rsidRPr="00081DD6" w:rsidRDefault="003E7278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</w:p>
    <w:p w:rsidR="003E7278" w:rsidRPr="00081DD6" w:rsidRDefault="003E7278" w:rsidP="003E7278">
      <w:pPr>
        <w:spacing w:before="100" w:after="1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Supplementary Table 7 | P. stercorea (Day 1) → inflammatory biomarkers (Day 1) stratified by nutritional status</w:t>
      </w:r>
    </w:p>
    <w:p w:rsidR="003E7278" w:rsidRPr="00081DD6" w:rsidRDefault="003E7278" w:rsidP="003E7278">
      <w:pPr>
        <w:spacing w:after="1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Both exposure and outcome measured at Day 1 (cross-sectional within this timepoint). Provides insight into baseline immune ecology before the trial intervention window. Covariates: HAZ at enrolment, age at sampling, sex.</w:t>
      </w:r>
    </w:p>
    <w:tbl>
      <w:tblPr>
        <w:tblW w:w="0" w:type="auto"/>
        <w:tblBorders>
          <w:top w:val="single" w:sz="4" w:space="0" w:color="2F4F7F"/>
          <w:bottom w:val="single" w:sz="4" w:space="0" w:color="2F4F7F"/>
          <w:insideH w:val="single" w:sz="1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773"/>
        <w:gridCol w:w="687"/>
        <w:gridCol w:w="1145"/>
        <w:gridCol w:w="1015"/>
        <w:gridCol w:w="1319"/>
        <w:gridCol w:w="1355"/>
        <w:gridCol w:w="884"/>
      </w:tblGrid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Outcome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Stratum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β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SE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95% CI low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95% CI high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2F4F7F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>p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log CRP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High WAZ (better nourished)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+0.0070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0.0252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−0.0430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0.0569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0.783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log CRP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Low WAZ (more malnourished)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−0.0371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0.0153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−0.0672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−0.0071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0.016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log AGP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High WAZ (better nourished)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121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+0.0144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0.0053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0.0039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0.0250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0.008</w:t>
            </w:r>
          </w:p>
        </w:tc>
      </w:tr>
      <w:tr w:rsidR="003E7278" w:rsidRPr="00FA564D" w:rsidTr="00DB0160"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log AGP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Low WAZ (more malnourished)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276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−0.0035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0.0035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−0.0103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0.0033</w:t>
            </w:r>
          </w:p>
        </w:tc>
        <w:tc>
          <w:tcPr>
            <w:tcW w:w="0" w:type="auto"/>
            <w:tcBorders>
              <w:top w:val="single" w:sz="1" w:space="0" w:color="AAAAAA"/>
              <w:bottom w:val="single" w:sz="1" w:space="0" w:color="AAAAAA"/>
            </w:tcBorders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0.311</w:t>
            </w:r>
          </w:p>
        </w:tc>
      </w:tr>
      <w:tr w:rsidR="003E7278" w:rsidRPr="00FA564D" w:rsidTr="00DB0160">
        <w:tc>
          <w:tcPr>
            <w:tcW w:w="0" w:type="auto"/>
            <w:gridSpan w:val="8"/>
            <w:tcBorders>
              <w:top w:val="single" w:sz="1" w:space="0" w:color="AAAAAA"/>
              <w:bottom w:val="single" w:sz="1" w:space="0" w:color="AAAAAA"/>
            </w:tcBorders>
            <w:shd w:val="clear" w:color="auto" w:fill="EBF0F7"/>
            <w:tcMar>
              <w:top w:w="55" w:type="dxa"/>
              <w:left w:w="90" w:type="dxa"/>
              <w:bottom w:w="55" w:type="dxa"/>
              <w:right w:w="90" w:type="dxa"/>
            </w:tcMar>
          </w:tcPr>
          <w:p w:rsidR="003E7278" w:rsidRPr="00FA564D" w:rsidRDefault="003E7278" w:rsidP="005C6454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WAZ split at median (−1.0); n = 276 Low WAZ, n = 121 High WAZ. Covariates: HAZ, age at sampling, sex. BH q (Family 1, 8 stratum-level tests): Low WAZ CRP q = 0.042; High WAZ AGP q = 0.032. BH q (Family 2, 4 interaction tests): CRP q = 0.015; AGP q = 0.002. Directional asymmetry by WAZ stratum supports host immune-metabolic reserve-dependent immune conditioning.</w:t>
            </w:r>
          </w:p>
        </w:tc>
      </w:tr>
    </w:tbl>
    <w:p w:rsidR="003E7278" w:rsidRPr="00081DD6" w:rsidRDefault="003E7278" w:rsidP="003E7278">
      <w:pPr>
        <w:spacing w:after="320"/>
        <w:rPr>
          <w:rFonts w:asciiTheme="minorHAnsi" w:hAnsiTheme="minorHAnsi" w:cstheme="minorHAnsi"/>
          <w:sz w:val="20"/>
          <w:szCs w:val="20"/>
        </w:rPr>
      </w:pPr>
    </w:p>
    <w:p w:rsidR="003E7278" w:rsidRPr="00081DD6" w:rsidRDefault="00EE71A5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8D18A4" w:rsidRPr="00081DD6" w:rsidRDefault="008D18A4" w:rsidP="008D18A4">
      <w:pPr>
        <w:spacing w:after="20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Supplementary Notes (Conceptual Framework)</w:t>
      </w:r>
    </w:p>
    <w:p w:rsidR="008D18A4" w:rsidRPr="00081DD6" w:rsidRDefault="008D18A4" w:rsidP="008D18A4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Shannon diversity (H′ = −Σ pᵢ log pᵢ) reflects both richness and evenness and is therefore sensitive to redistribution of relative abundances within a fixed taxonomic pool, whereas genus-level richness more directly captures ecological breadth and functional redundancy.</w:t>
      </w:r>
    </w:p>
    <w:p w:rsidR="008D18A4" w:rsidRPr="00081DD6" w:rsidRDefault="008D18A4" w:rsidP="008D18A4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Across IHAT-GUT and spaceflight datasets, Shannon diversity may remain stable or increase despite ecological deterioration, reflecting compositional reorganisation within a constrained set of taxa rather than expansion of functional capacity. Richness therefore provides a more direct proxy for loss of ecological scope and redundancy.</w:t>
      </w:r>
    </w:p>
    <w:p w:rsidR="008D18A4" w:rsidRPr="00081DD6" w:rsidRDefault="008D18A4" w:rsidP="008D18A4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spaceflight, the gut microbiome behaves as a closed-system ecological perturbation in which environmental microbial inputs are removed and external constraints are increased. Under these conditions, 4/5 astronauts show movement toward a shared in-flight ecological state, with increases in diversity occurring primarily in individuals with lower baseline values, while the highest-diversity individual remains stable.</w:t>
      </w:r>
    </w:p>
    <w:p w:rsidR="003E7278" w:rsidRPr="00081DD6" w:rsidRDefault="008D18A4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This pattern is consistent with </w:t>
      </w:r>
      <w:r>
        <w:rPr>
          <w:rFonts w:asciiTheme="minorHAnsi" w:hAnsiTheme="minorHAnsi" w:cstheme="minorHAnsi"/>
          <w:bCs/>
          <w:sz w:val="20"/>
          <w:szCs w:val="20"/>
        </w:rPr>
        <w:t>convergence toward a constrained ecological attractor rather than system-wide diversification</w:t>
      </w:r>
      <w:r>
        <w:rPr>
          <w:rFonts w:asciiTheme="minorHAnsi" w:hAnsiTheme="minorHAnsi" w:cstheme="minorHAnsi"/>
          <w:sz w:val="20"/>
          <w:szCs w:val="20"/>
        </w:rPr>
        <w:t>, and is transient over the mission trajectory. Importantly, convergence in diversity metrics co-occurs with depletion of immunologically relevant taxa and immune perturbation, indicating that apparent normalisation reflects restriction within a reduced functional state rather than recovery of ecological function.</w:t>
      </w:r>
    </w:p>
    <w:p w:rsidR="003E7278" w:rsidRPr="00081DD6" w:rsidRDefault="00EE71A5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3E7278" w:rsidRPr="00081DD6" w:rsidRDefault="003E7278" w:rsidP="003E7278">
      <w:pPr>
        <w:spacing w:after="200"/>
        <w:rPr>
          <w:rFonts w:asciiTheme="minorHAnsi" w:hAnsiTheme="minorHAnsi" w:cstheme="minorHAnsi"/>
          <w:sz w:val="20"/>
          <w:szCs w:val="20"/>
        </w:rPr>
      </w:pPr>
    </w:p>
    <w:p w:rsidR="003E7278" w:rsidRPr="00081DD6" w:rsidRDefault="003E7278">
      <w:pPr>
        <w:spacing w:after="200"/>
        <w:rPr>
          <w:rFonts w:asciiTheme="minorHAnsi" w:hAnsiTheme="minorHAnsi" w:cstheme="minorHAnsi"/>
          <w:sz w:val="20"/>
          <w:szCs w:val="20"/>
        </w:rPr>
      </w:pPr>
    </w:p>
    <w:sectPr w:rsidR="003E7278" w:rsidRPr="00081DD6" w:rsidSect="00F240BD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84968"/>
    <w:multiLevelType w:val="multilevel"/>
    <w:tmpl w:val="CC14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C44A1"/>
    <w:multiLevelType w:val="multilevel"/>
    <w:tmpl w:val="4090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1C4292"/>
    <w:multiLevelType w:val="hybridMultilevel"/>
    <w:tmpl w:val="439627CA"/>
    <w:lvl w:ilvl="0" w:tplc="EF96E4C2">
      <w:start w:val="1"/>
      <w:numFmt w:val="bullet"/>
      <w:lvlText w:val="●"/>
      <w:lvlJc w:val="left"/>
      <w:pPr>
        <w:ind w:left="720" w:hanging="360"/>
      </w:pPr>
    </w:lvl>
    <w:lvl w:ilvl="1" w:tplc="92A2B728">
      <w:start w:val="1"/>
      <w:numFmt w:val="bullet"/>
      <w:lvlText w:val="○"/>
      <w:lvlJc w:val="left"/>
      <w:pPr>
        <w:ind w:left="1440" w:hanging="360"/>
      </w:pPr>
    </w:lvl>
    <w:lvl w:ilvl="2" w:tplc="FD601952">
      <w:start w:val="1"/>
      <w:numFmt w:val="bullet"/>
      <w:lvlText w:val="■"/>
      <w:lvlJc w:val="left"/>
      <w:pPr>
        <w:ind w:left="2160" w:hanging="360"/>
      </w:pPr>
    </w:lvl>
    <w:lvl w:ilvl="3" w:tplc="DE10A0B6">
      <w:start w:val="1"/>
      <w:numFmt w:val="bullet"/>
      <w:lvlText w:val="●"/>
      <w:lvlJc w:val="left"/>
      <w:pPr>
        <w:ind w:left="2880" w:hanging="360"/>
      </w:pPr>
    </w:lvl>
    <w:lvl w:ilvl="4" w:tplc="13C03512">
      <w:start w:val="1"/>
      <w:numFmt w:val="bullet"/>
      <w:lvlText w:val="○"/>
      <w:lvlJc w:val="left"/>
      <w:pPr>
        <w:ind w:left="3600" w:hanging="360"/>
      </w:pPr>
    </w:lvl>
    <w:lvl w:ilvl="5" w:tplc="52AE3510">
      <w:start w:val="1"/>
      <w:numFmt w:val="bullet"/>
      <w:lvlText w:val="■"/>
      <w:lvlJc w:val="left"/>
      <w:pPr>
        <w:ind w:left="4320" w:hanging="360"/>
      </w:pPr>
    </w:lvl>
    <w:lvl w:ilvl="6" w:tplc="FF725AC6">
      <w:start w:val="1"/>
      <w:numFmt w:val="bullet"/>
      <w:lvlText w:val="●"/>
      <w:lvlJc w:val="left"/>
      <w:pPr>
        <w:ind w:left="5040" w:hanging="360"/>
      </w:pPr>
    </w:lvl>
    <w:lvl w:ilvl="7" w:tplc="F6142654">
      <w:start w:val="1"/>
      <w:numFmt w:val="bullet"/>
      <w:lvlText w:val="●"/>
      <w:lvlJc w:val="left"/>
      <w:pPr>
        <w:ind w:left="5760" w:hanging="360"/>
      </w:pPr>
    </w:lvl>
    <w:lvl w:ilvl="8" w:tplc="C602C2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95"/>
    <w:rsid w:val="00081DD6"/>
    <w:rsid w:val="001C1E75"/>
    <w:rsid w:val="002746F8"/>
    <w:rsid w:val="002762FD"/>
    <w:rsid w:val="00304343"/>
    <w:rsid w:val="003E7278"/>
    <w:rsid w:val="00517153"/>
    <w:rsid w:val="00560BED"/>
    <w:rsid w:val="00705F08"/>
    <w:rsid w:val="00775417"/>
    <w:rsid w:val="00827595"/>
    <w:rsid w:val="0086537D"/>
    <w:rsid w:val="00876394"/>
    <w:rsid w:val="008D18A4"/>
    <w:rsid w:val="00951658"/>
    <w:rsid w:val="00A21DA2"/>
    <w:rsid w:val="00B43FD4"/>
    <w:rsid w:val="00DB0160"/>
    <w:rsid w:val="00EE71A5"/>
    <w:rsid w:val="00F240BD"/>
    <w:rsid w:val="00F27C3A"/>
    <w:rsid w:val="00FA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79C87-A6B5-450D-93AE-3C8EC02A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160"/>
      <w:outlineLvl w:val="0"/>
    </w:pPr>
    <w:rPr>
      <w:b/>
      <w:bCs/>
      <w:color w:val="1A3A5C"/>
      <w:sz w:val="26"/>
      <w:szCs w:val="26"/>
    </w:rPr>
  </w:style>
  <w:style w:type="paragraph" w:styleId="Heading2">
    <w:name w:val="heading 2"/>
    <w:qFormat/>
    <w:pPr>
      <w:spacing w:before="240" w:after="120"/>
      <w:outlineLvl w:val="1"/>
    </w:pPr>
    <w:rPr>
      <w:b/>
      <w:bCs/>
      <w:color w:val="2E74B5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MRCG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Ofordile Ogochukwu</cp:lastModifiedBy>
  <cp:revision>6</cp:revision>
  <dcterms:created xsi:type="dcterms:W3CDTF">2026-06-09T09:17:00Z</dcterms:created>
  <dcterms:modified xsi:type="dcterms:W3CDTF">2026-06-09T09:45:00Z</dcterms:modified>
</cp:coreProperties>
</file>