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48FD" w14:textId="77777777" w:rsidR="008104CC" w:rsidRPr="008104CC" w:rsidRDefault="008104CC" w:rsidP="008104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  <w:t>Supplementary Table S2. Operational rules for pharmacokinetic/pharmacodynamic (PK/PD) and clinical certainty ratings (not GRADE)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3499"/>
        <w:gridCol w:w="3808"/>
      </w:tblGrid>
      <w:tr w:rsidR="008104CC" w:rsidRPr="008104CC" w14:paraId="6ABF06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AAF784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Certainty</w:t>
            </w:r>
            <w:proofErr w:type="spellEnd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E6421E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PK/PD </w:t>
            </w: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certainty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835776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Clinical</w:t>
            </w:r>
            <w:proofErr w:type="spellEnd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certainty</w:t>
            </w:r>
            <w:proofErr w:type="spellEnd"/>
          </w:p>
        </w:tc>
      </w:tr>
      <w:tr w:rsidR="008104CC" w:rsidRPr="008104CC" w14:paraId="4352D1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D5D1B61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High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F03E11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Reproducible and clinically relevant exposure profiles and/or target attainment demonstrated across consistent PK/PD analyses in relevant adult populations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89E640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Consistent comparative clinical outcomes (e.g., </w:t>
            </w:r>
            <w:proofErr w:type="spellStart"/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randomised</w:t>
            </w:r>
            <w:proofErr w:type="spellEnd"/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 or well-controlled studies) with acceptable risk of bias and direct relevance to Primary Care or community contexts</w:t>
            </w:r>
          </w:p>
        </w:tc>
      </w:tr>
      <w:tr w:rsidR="008104CC" w:rsidRPr="008104CC" w14:paraId="2C5444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2BF66F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Moderate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99D811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Supportive PK/PD evidence with some variability, but overall consistent exposure profiles across studies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02D28C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Observational, heterogeneous and/or partially indirect evidence, with moderate risk of bias and/or indirect applicability to Primary Care settings</w:t>
            </w:r>
          </w:p>
        </w:tc>
      </w:tr>
      <w:tr w:rsidR="008104CC" w:rsidRPr="008104CC" w14:paraId="55A8720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E488BE" w14:textId="77777777" w:rsidR="008104CC" w:rsidRPr="008104CC" w:rsidRDefault="008104CC" w:rsidP="00810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Low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5EC2A7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Scarce, inconsistent, indirect or heterogeneous PK/PD evidence, with limited demonstration of target attainment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5E7482" w14:textId="77777777" w:rsidR="008104CC" w:rsidRPr="008104CC" w:rsidRDefault="008104CC" w:rsidP="008104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8104CC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Sparse clinical outcome data, high risk of bias, substantial heterogeneity, or reliance on indirect outcome measures with limited applicability to Primary Care</w:t>
            </w:r>
          </w:p>
        </w:tc>
      </w:tr>
    </w:tbl>
    <w:p w14:paraId="3A2B1F01" w14:textId="77777777" w:rsidR="008104CC" w:rsidRPr="008104CC" w:rsidRDefault="008104CC" w:rsidP="008104CC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pict w14:anchorId="182585AF">
          <v:rect id="_x0000_i1025" style="width:0;height:1.5pt" o:hralign="center" o:hrstd="t" o:hr="t" fillcolor="#a0a0a0" stroked="f"/>
        </w:pict>
      </w:r>
    </w:p>
    <w:p w14:paraId="23514680" w14:textId="77777777" w:rsidR="008104CC" w:rsidRPr="008104CC" w:rsidRDefault="008104CC" w:rsidP="008104C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  <w:t>Notes</w:t>
      </w:r>
    </w:p>
    <w:p w14:paraId="000A6DE0" w14:textId="77777777" w:rsidR="008104CC" w:rsidRPr="008104CC" w:rsidRDefault="008104CC" w:rsidP="008104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These certainty categories are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not GRADE assessments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 and are intended to support structured interpretation of evidence rather than to generate clinical guideline recommendations.</w:t>
      </w:r>
    </w:p>
    <w:p w14:paraId="2B25E7E5" w14:textId="77777777" w:rsidR="008104CC" w:rsidRPr="008104CC" w:rsidRDefault="008104CC" w:rsidP="008104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This framework distinguishes explicitly between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pharmacological plausibility (PK/PD evidence)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 and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observed clinical effectiveness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, enabling a transparent and context-sensitive interpretation aligned with scoping review methodology.</w:t>
      </w:r>
    </w:p>
    <w:p w14:paraId="683DF489" w14:textId="77777777" w:rsidR="008104CC" w:rsidRPr="008104CC" w:rsidRDefault="008104CC" w:rsidP="008104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The framework is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interpretative and does not replace formal evidence grading systems such as GRADE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.</w:t>
      </w:r>
    </w:p>
    <w:p w14:paraId="2BDB2A06" w14:textId="77777777" w:rsidR="008104CC" w:rsidRPr="008104CC" w:rsidRDefault="008104CC" w:rsidP="008104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These operational criteria were used to inform the synthesis and interpretation of evidence across domains and underpin the certainty assignments presented in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Table 1 of the main manuscript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.</w:t>
      </w:r>
    </w:p>
    <w:p w14:paraId="11E8047F" w14:textId="77777777" w:rsidR="008104CC" w:rsidRPr="008104CC" w:rsidRDefault="008104CC" w:rsidP="008104C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This approach facilitated differentiation of certainty levels across domains, particularly in identifying </w:t>
      </w:r>
      <w:r w:rsidRPr="008104CC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high-certainty evidence for subcutaneous opioids and lower clinical certainty for subcutaneous antibiotics and short subcutaneous infusions</w:t>
      </w:r>
      <w:r w:rsidRPr="008104CC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, as reflected in the Results section.</w:t>
      </w:r>
    </w:p>
    <w:p w14:paraId="41356AAB" w14:textId="77777777" w:rsidR="008104CC" w:rsidRPr="008104CC" w:rsidRDefault="008104CC">
      <w:pPr>
        <w:rPr>
          <w:lang w:val="en-US"/>
        </w:rPr>
      </w:pPr>
    </w:p>
    <w:sectPr w:rsidR="008104CC" w:rsidRPr="00810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CC"/>
    <w:rsid w:val="008104CC"/>
    <w:rsid w:val="00D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9350"/>
  <w15:chartTrackingRefBased/>
  <w15:docId w15:val="{5D66CEE9-B1CF-4668-8ABD-520543BE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04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04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0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0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0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0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04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04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04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04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04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04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04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04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04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0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04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04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04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04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04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04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PEÑA MARTINEZ</dc:creator>
  <cp:keywords/>
  <dc:description/>
  <cp:lastModifiedBy>JUAN CARLOS PEÑA MARTINEZ</cp:lastModifiedBy>
  <cp:revision>1</cp:revision>
  <dcterms:created xsi:type="dcterms:W3CDTF">2026-05-05T18:47:00Z</dcterms:created>
  <dcterms:modified xsi:type="dcterms:W3CDTF">2026-05-05T18:50:00Z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ed76a43b-dbbb-4cd2-af3c-7ddd6bb03efe</vt:lpwstr>
  </property>
</Properties>
</file>