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EEFF" w14:textId="77777777" w:rsidR="00FB0D6E" w:rsidRPr="00FB0D6E" w:rsidRDefault="00FB0D6E" w:rsidP="00FB0D6E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b/>
          <w:bCs/>
          <w:kern w:val="0"/>
          <w:sz w:val="36"/>
          <w:szCs w:val="36"/>
          <w:lang w:val="en-US" w:eastAsia="es-ES"/>
          <w14:ligatures w14:val="none"/>
        </w:rPr>
        <w:t>Additional file 3: Supplementary Table S3. Risk of bias and quality appraisal</w:t>
      </w:r>
    </w:p>
    <w:p w14:paraId="440A7D7C" w14:textId="4EA042B2" w:rsidR="00FB0D6E" w:rsidRPr="00FB0D6E" w:rsidRDefault="00FB0D6E" w:rsidP="00FB0D6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</w:p>
    <w:p w14:paraId="617CD782" w14:textId="77777777" w:rsidR="00FB0D6E" w:rsidRPr="00FB0D6E" w:rsidRDefault="00FB0D6E" w:rsidP="00FB0D6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  <w:t>Supplementary Table S3. Risk of bias and quality appraisal (domain-level interpretative summary)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1926"/>
        <w:gridCol w:w="2450"/>
        <w:gridCol w:w="2517"/>
      </w:tblGrid>
      <w:tr w:rsidR="00FB0D6E" w:rsidRPr="00FB0D6E" w14:paraId="41C537A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D6491C9" w14:textId="77777777" w:rsidR="00FB0D6E" w:rsidRPr="00FB0D6E" w:rsidRDefault="00FB0D6E" w:rsidP="00FB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Domain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63993A6" w14:textId="77777777" w:rsidR="00FB0D6E" w:rsidRPr="00FB0D6E" w:rsidRDefault="00FB0D6E" w:rsidP="00FB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Dominant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study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designs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9E23A05" w14:textId="77777777" w:rsidR="00FB0D6E" w:rsidRPr="00FB0D6E" w:rsidRDefault="00FB0D6E" w:rsidP="00FB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Risk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of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bias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considerations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6D8AF2E" w14:textId="77777777" w:rsidR="00FB0D6E" w:rsidRPr="00FB0D6E" w:rsidRDefault="00FB0D6E" w:rsidP="00FB0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</w:pP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Implications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for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ES"/>
                <w14:ligatures w14:val="none"/>
              </w:rPr>
              <w:t>interpretation</w:t>
            </w:r>
            <w:proofErr w:type="spellEnd"/>
          </w:p>
        </w:tc>
      </w:tr>
      <w:tr w:rsidR="00FB0D6E" w:rsidRPr="00FB0D6E" w14:paraId="098B92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F3CCA4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SC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opioids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FE8F6A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RCTs, comparative studies, implementation evaluations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D09533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Generally lower risk of bias compared to other domains; some indirectness due to inclusion of hospital-based populations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F88823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Supports high clinical certainty when outcomes are consistent and applicable to Primary Care contexts</w:t>
            </w:r>
          </w:p>
        </w:tc>
      </w:tr>
      <w:tr w:rsidR="00FB0D6E" w:rsidRPr="00FB0D6E" w14:paraId="5E4C488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8FD993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SC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antibiotics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9AA995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Observational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cohorts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, PK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studies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68700D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Confounding, small sample sizes, heterogeneity and potential indirectness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9F8209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Justifies low to moderate clinical certainty despite strong PK/PD evidence, reflecting limitations in comparative clinical outcome data</w:t>
            </w:r>
          </w:p>
        </w:tc>
      </w:tr>
      <w:tr w:rsidR="00FB0D6E" w:rsidRPr="00FB0D6E" w14:paraId="0C55FD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87DBF5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SSCIs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0E0938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Reviews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,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practice-based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reports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845A32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Limited comparative evidence and heterogeneity, with reliance on descriptive data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851A7E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Supports moderate certainty, with interpretation dependent on context and consistency across sources</w:t>
            </w:r>
          </w:p>
        </w:tc>
      </w:tr>
      <w:tr w:rsidR="00FB0D6E" w:rsidRPr="00FB0D6E" w14:paraId="284BF4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EE249B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Organisational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evidence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FF223B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Guidelines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,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reports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 xml:space="preserve">, grey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literature</w:t>
            </w:r>
            <w:proofErr w:type="spell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D0F5B2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 xml:space="preserve">Predominant indirectness rather than classical methodological bias; variability across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organisational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 xml:space="preserve"> contexts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6E735A" w14:textId="77777777" w:rsidR="00FB0D6E" w:rsidRPr="00FB0D6E" w:rsidRDefault="00FB0D6E" w:rsidP="00FB0D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</w:pPr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 xml:space="preserve">Supports </w:t>
            </w:r>
            <w:proofErr w:type="spellStart"/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>organisational</w:t>
            </w:r>
            <w:proofErr w:type="spellEnd"/>
            <w:r w:rsidRPr="00FB0D6E">
              <w:rPr>
                <w:rFonts w:ascii="Times New Roman" w:eastAsia="Times New Roman" w:hAnsi="Times New Roman" w:cs="Times New Roman"/>
                <w:kern w:val="0"/>
                <w:lang w:val="en-US" w:eastAsia="es-ES"/>
                <w14:ligatures w14:val="none"/>
              </w:rPr>
              <w:t xml:space="preserve"> inference and hypothesis generation rather than effectiveness or causal claims</w:t>
            </w:r>
          </w:p>
        </w:tc>
      </w:tr>
    </w:tbl>
    <w:p w14:paraId="04E8E993" w14:textId="77777777" w:rsidR="00FB0D6E" w:rsidRPr="00FB0D6E" w:rsidRDefault="00FB0D6E" w:rsidP="00FB0D6E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</w:pPr>
      <w:r w:rsidRPr="00FB0D6E">
        <w:rPr>
          <w:rFonts w:ascii="Segoe UI" w:eastAsia="Times New Roman" w:hAnsi="Segoe UI" w:cs="Segoe UI"/>
          <w:kern w:val="0"/>
          <w:sz w:val="21"/>
          <w:szCs w:val="21"/>
          <w:lang w:eastAsia="es-ES"/>
          <w14:ligatures w14:val="none"/>
        </w:rPr>
        <w:pict w14:anchorId="4F7B6D03">
          <v:rect id="_x0000_i1028" style="width:0;height:1.5pt" o:hralign="center" o:hrstd="t" o:hr="t" fillcolor="#a0a0a0" stroked="f"/>
        </w:pict>
      </w:r>
    </w:p>
    <w:p w14:paraId="76556E13" w14:textId="77777777" w:rsidR="00FB0D6E" w:rsidRPr="00FB0D6E" w:rsidRDefault="00FB0D6E" w:rsidP="00FB0D6E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s-ES"/>
          <w14:ligatures w14:val="none"/>
        </w:rPr>
        <w:t>Notes</w:t>
      </w:r>
    </w:p>
    <w:p w14:paraId="466CC3E7" w14:textId="77777777" w:rsidR="00FB0D6E" w:rsidRPr="00FB0D6E" w:rsidRDefault="00FB0D6E" w:rsidP="00FB0D6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This appraisal is presented at the domain level and is intended to support structured interpretation of heterogeneous evidence in accordance with scoping review methodology.</w:t>
      </w:r>
    </w:p>
    <w:p w14:paraId="55A453DA" w14:textId="77777777" w:rsidR="00FB0D6E" w:rsidRPr="00FB0D6E" w:rsidRDefault="00FB0D6E" w:rsidP="00FB0D6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This appraisal was conducted as part of an </w:t>
      </w:r>
      <w:r w:rsidRPr="00FB0D6E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interpretative framework</w:t>
      </w: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, and does not represent a formal quantitative risk of bias synthesis or a basis for study exclusion.</w:t>
      </w:r>
    </w:p>
    <w:p w14:paraId="1C31B15B" w14:textId="77777777" w:rsidR="00FB0D6E" w:rsidRPr="00FB0D6E" w:rsidRDefault="00FB0D6E" w:rsidP="00FB0D6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 xml:space="preserve">It also </w:t>
      </w:r>
      <w:r w:rsidRPr="00FB0D6E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does not represent a formal GRADE assessment</w:t>
      </w: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.</w:t>
      </w:r>
    </w:p>
    <w:p w14:paraId="396DBDC3" w14:textId="77777777" w:rsidR="00FB0D6E" w:rsidRPr="00FB0D6E" w:rsidRDefault="00FB0D6E" w:rsidP="00FB0D6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lastRenderedPageBreak/>
        <w:t xml:space="preserve">Findings from this appraisal informed the distinction between </w:t>
      </w:r>
      <w:r w:rsidRPr="00FB0D6E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 w:eastAsia="es-ES"/>
          <w14:ligatures w14:val="none"/>
        </w:rPr>
        <w:t>PK/PD certainty and clinical certainty</w:t>
      </w: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, underpinning the synthesis presented in Table 1 of the main manuscript.</w:t>
      </w:r>
    </w:p>
    <w:p w14:paraId="4215A32D" w14:textId="77777777" w:rsidR="00FB0D6E" w:rsidRPr="00FB0D6E" w:rsidRDefault="00FB0D6E" w:rsidP="00FB0D6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</w:pPr>
      <w:r w:rsidRPr="00FB0D6E">
        <w:rPr>
          <w:rFonts w:ascii="Segoe UI" w:eastAsia="Times New Roman" w:hAnsi="Segoe UI" w:cs="Segoe UI"/>
          <w:kern w:val="0"/>
          <w:sz w:val="21"/>
          <w:szCs w:val="21"/>
          <w:lang w:val="en-US" w:eastAsia="es-ES"/>
          <w14:ligatures w14:val="none"/>
        </w:rPr>
        <w:t>Differences in study design, population context and evidence maturity across domains were explicitly considered when deriving interpretative conclusions.</w:t>
      </w:r>
    </w:p>
    <w:p w14:paraId="65CDC4C1" w14:textId="77777777" w:rsidR="00FB0D6E" w:rsidRPr="00FB0D6E" w:rsidRDefault="00FB0D6E">
      <w:pPr>
        <w:rPr>
          <w:lang w:val="en-US"/>
        </w:rPr>
      </w:pPr>
    </w:p>
    <w:sectPr w:rsidR="00FB0D6E" w:rsidRPr="00FB0D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6E"/>
    <w:rsid w:val="00067EE5"/>
    <w:rsid w:val="00FB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14F7"/>
  <w15:chartTrackingRefBased/>
  <w15:docId w15:val="{9B68BB12-25E0-416C-9378-B42A35CD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0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0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D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0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0D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0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0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0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0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0D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0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0D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0D6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0D6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0D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0D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0D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0D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0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0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0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0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0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0D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0D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0D6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0D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0D6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0D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PEÑA MARTINEZ</dc:creator>
  <cp:keywords/>
  <dc:description/>
  <cp:lastModifiedBy>JUAN CARLOS PEÑA MARTINEZ</cp:lastModifiedBy>
  <cp:revision>1</cp:revision>
  <dcterms:created xsi:type="dcterms:W3CDTF">2026-05-05T18:51:00Z</dcterms:created>
  <dcterms:modified xsi:type="dcterms:W3CDTF">2026-05-05T18:53:00Z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26f03430-4784-4c12-8bf5-ad98c55001f6</vt:lpwstr>
  </property>
</Properties>
</file>