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D24E0" w14:textId="77777777" w:rsidR="007A07B0" w:rsidRPr="004262D9" w:rsidRDefault="007A07B0" w:rsidP="007A07B0">
      <w:pPr>
        <w:snapToGrid w:val="0"/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  <w:r w:rsidRPr="004262D9">
        <w:rPr>
          <w:rFonts w:ascii="Times New Roman" w:eastAsia="Times New Roman" w:hAnsi="Times New Roman" w:cs="Times New Roman"/>
          <w:b/>
          <w:bCs/>
        </w:rPr>
        <w:t>Supplementary Figure Legends</w:t>
      </w:r>
    </w:p>
    <w:p w14:paraId="282C9A7D" w14:textId="77777777" w:rsidR="007A07B0" w:rsidRPr="004262D9" w:rsidRDefault="007A07B0" w:rsidP="007A07B0">
      <w:pPr>
        <w:snapToGrid w:val="0"/>
        <w:spacing w:after="0" w:line="480" w:lineRule="auto"/>
        <w:rPr>
          <w:rFonts w:ascii="Times New Roman" w:eastAsia="Times New Roman" w:hAnsi="Times New Roman" w:cs="Times New Roman"/>
        </w:rPr>
      </w:pPr>
    </w:p>
    <w:p w14:paraId="522F8394" w14:textId="77777777" w:rsidR="007A07B0" w:rsidRPr="004262D9" w:rsidRDefault="007A07B0" w:rsidP="007A07B0">
      <w:pPr>
        <w:snapToGrid w:val="0"/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  <w:r w:rsidRPr="797184D5">
        <w:rPr>
          <w:rFonts w:ascii="Times New Roman" w:eastAsia="Times New Roman" w:hAnsi="Times New Roman" w:cs="Times New Roman"/>
          <w:b/>
          <w:bCs/>
        </w:rPr>
        <w:t>Supplementary Figure S1. Schem</w:t>
      </w:r>
      <w:r>
        <w:rPr>
          <w:rFonts w:ascii="Times New Roman" w:hAnsi="Times New Roman" w:cs="Times New Roman" w:hint="eastAsia"/>
          <w:b/>
          <w:bCs/>
        </w:rPr>
        <w:t>atic representation</w:t>
      </w:r>
      <w:r w:rsidRPr="797184D5">
        <w:rPr>
          <w:rFonts w:ascii="Times New Roman" w:eastAsia="Times New Roman" w:hAnsi="Times New Roman" w:cs="Times New Roman"/>
          <w:b/>
          <w:bCs/>
        </w:rPr>
        <w:t xml:space="preserve"> of bulk RNA sequencing of mouse osteoclasts differentiated from RAW264 cells.</w:t>
      </w:r>
    </w:p>
    <w:p w14:paraId="03D79A43" w14:textId="77777777" w:rsidR="007A07B0" w:rsidRPr="004262D9" w:rsidRDefault="007A07B0" w:rsidP="007A07B0">
      <w:pPr>
        <w:snapToGrid w:val="0"/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</w:p>
    <w:p w14:paraId="0145B97C" w14:textId="77777777" w:rsidR="007A07B0" w:rsidRPr="004262D9" w:rsidRDefault="007A07B0" w:rsidP="007A07B0">
      <w:pPr>
        <w:snapToGrid w:val="0"/>
        <w:spacing w:after="0" w:line="480" w:lineRule="auto"/>
        <w:rPr>
          <w:rFonts w:ascii="Times New Roman" w:eastAsia="Times New Roman" w:hAnsi="Times New Roman" w:cs="Times New Roman"/>
        </w:rPr>
      </w:pPr>
      <w:r w:rsidRPr="797184D5">
        <w:rPr>
          <w:rFonts w:ascii="Times New Roman" w:eastAsia="Times New Roman" w:hAnsi="Times New Roman" w:cs="Times New Roman"/>
          <w:b/>
          <w:bCs/>
        </w:rPr>
        <w:t xml:space="preserve">Supplementary Figure S2. Dominant </w:t>
      </w:r>
      <w:r w:rsidRPr="797184D5">
        <w:rPr>
          <w:rFonts w:ascii="Times New Roman" w:eastAsia="Times New Roman" w:hAnsi="Times New Roman" w:cs="Times New Roman"/>
          <w:b/>
          <w:bCs/>
          <w:i/>
          <w:iCs/>
        </w:rPr>
        <w:t xml:space="preserve">Gpr137b </w:t>
      </w:r>
      <w:r w:rsidRPr="797184D5">
        <w:rPr>
          <w:rFonts w:ascii="Times New Roman" w:eastAsia="Times New Roman" w:hAnsi="Times New Roman" w:cs="Times New Roman"/>
          <w:b/>
          <w:bCs/>
        </w:rPr>
        <w:t xml:space="preserve">mRNA expression in human </w:t>
      </w:r>
      <w:r>
        <w:rPr>
          <w:rFonts w:ascii="Times New Roman" w:hAnsi="Times New Roman" w:cs="Times New Roman" w:hint="eastAsia"/>
          <w:b/>
          <w:bCs/>
        </w:rPr>
        <w:t>g</w:t>
      </w:r>
      <w:r w:rsidRPr="797184D5">
        <w:rPr>
          <w:rFonts w:ascii="Times New Roman" w:eastAsia="Times New Roman" w:hAnsi="Times New Roman" w:cs="Times New Roman"/>
          <w:b/>
          <w:bCs/>
        </w:rPr>
        <w:t>iant cell tumor of bone.</w:t>
      </w:r>
    </w:p>
    <w:p w14:paraId="6AE985EA" w14:textId="77777777" w:rsidR="007A07B0" w:rsidRPr="004262D9" w:rsidRDefault="007A07B0" w:rsidP="007A07B0">
      <w:pPr>
        <w:snapToGrid w:val="0"/>
        <w:spacing w:after="0" w:line="480" w:lineRule="auto"/>
        <w:rPr>
          <w:rFonts w:ascii="Times New Roman" w:eastAsia="Times New Roman" w:hAnsi="Times New Roman" w:cs="Times New Roman"/>
        </w:rPr>
      </w:pPr>
    </w:p>
    <w:p w14:paraId="1BC340DF" w14:textId="77777777" w:rsidR="007A07B0" w:rsidRPr="004262D9" w:rsidRDefault="007A07B0" w:rsidP="007A07B0">
      <w:pPr>
        <w:snapToGrid w:val="0"/>
        <w:spacing w:after="0" w:line="480" w:lineRule="auto"/>
        <w:rPr>
          <w:rFonts w:ascii="Times New Roman" w:eastAsia="Times New Roman" w:hAnsi="Times New Roman" w:cs="Times New Roman"/>
        </w:rPr>
      </w:pPr>
      <w:r w:rsidRPr="797184D5">
        <w:rPr>
          <w:rFonts w:ascii="Times New Roman" w:eastAsia="Times New Roman" w:hAnsi="Times New Roman" w:cs="Times New Roman"/>
          <w:b/>
          <w:bCs/>
        </w:rPr>
        <w:t xml:space="preserve">Supplementary Figure S3. Abundant </w:t>
      </w:r>
      <w:r w:rsidRPr="797184D5">
        <w:rPr>
          <w:rFonts w:ascii="Times New Roman" w:eastAsia="Times New Roman" w:hAnsi="Times New Roman" w:cs="Times New Roman"/>
          <w:b/>
          <w:bCs/>
          <w:i/>
          <w:iCs/>
        </w:rPr>
        <w:t>Gpr137b</w:t>
      </w:r>
      <w:r w:rsidRPr="797184D5">
        <w:rPr>
          <w:rFonts w:ascii="Times New Roman" w:eastAsia="Times New Roman" w:hAnsi="Times New Roman" w:cs="Times New Roman"/>
          <w:b/>
          <w:bCs/>
        </w:rPr>
        <w:t xml:space="preserve"> mRNA expression in the osteoclast-rich region compared to the adjacent osteoblasts/osteocytes- and smooth muscle-rich regions of the laser-dissected mouse femoral bone sections.</w:t>
      </w:r>
      <w:r w:rsidRPr="797184D5"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hAnsi="Times New Roman" w:cs="Times New Roman" w:hint="eastAsia"/>
        </w:rPr>
        <w:t>a</w:t>
      </w:r>
      <w:r w:rsidRPr="797184D5">
        <w:rPr>
          <w:rFonts w:ascii="Times New Roman" w:eastAsia="Times New Roman" w:hAnsi="Times New Roman" w:cs="Times New Roman"/>
        </w:rPr>
        <w:t>) Regions rich in TRAP-positive osteoclasts in the femur (indicated by an arrow) w</w:t>
      </w:r>
      <w:r>
        <w:rPr>
          <w:rFonts w:ascii="Times New Roman" w:hAnsi="Times New Roman" w:cs="Times New Roman" w:hint="eastAsia"/>
        </w:rPr>
        <w:t>ere</w:t>
      </w:r>
      <w:r w:rsidRPr="797184D5">
        <w:rPr>
          <w:rFonts w:ascii="Times New Roman" w:eastAsia="Times New Roman" w:hAnsi="Times New Roman" w:cs="Times New Roman"/>
        </w:rPr>
        <w:t xml:space="preserve"> dissected. (</w:t>
      </w:r>
      <w:r>
        <w:rPr>
          <w:rFonts w:ascii="Times New Roman" w:hAnsi="Times New Roman" w:cs="Times New Roman" w:hint="eastAsia"/>
        </w:rPr>
        <w:t>b</w:t>
      </w:r>
      <w:r w:rsidRPr="797184D5">
        <w:rPr>
          <w:rFonts w:ascii="Times New Roman" w:eastAsia="Times New Roman" w:hAnsi="Times New Roman" w:cs="Times New Roman"/>
        </w:rPr>
        <w:t xml:space="preserve">) The expression of Gpr137b mRNA normalized to 18S rRNA was evaluated </w:t>
      </w:r>
      <w:r>
        <w:rPr>
          <w:rFonts w:ascii="Times New Roman" w:hAnsi="Times New Roman" w:cs="Times New Roman" w:hint="eastAsia"/>
        </w:rPr>
        <w:t>using</w:t>
      </w:r>
      <w:r w:rsidRPr="797184D5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qRT</w:t>
      </w:r>
      <w:proofErr w:type="spellEnd"/>
      <w:r>
        <w:rPr>
          <w:rFonts w:ascii="Times New Roman" w:eastAsia="Times New Roman" w:hAnsi="Times New Roman" w:cs="Times New Roman"/>
        </w:rPr>
        <w:t>–PCR</w:t>
      </w:r>
      <w:r w:rsidRPr="797184D5">
        <w:rPr>
          <w:rFonts w:ascii="Times New Roman" w:eastAsia="Times New Roman" w:hAnsi="Times New Roman" w:cs="Times New Roman"/>
        </w:rPr>
        <w:t>. (</w:t>
      </w:r>
      <w:r>
        <w:rPr>
          <w:rFonts w:ascii="Times New Roman" w:hAnsi="Times New Roman" w:cs="Times New Roman" w:hint="eastAsia"/>
        </w:rPr>
        <w:t>c</w:t>
      </w:r>
      <w:r w:rsidRPr="797184D5">
        <w:rPr>
          <w:rFonts w:ascii="Times New Roman" w:eastAsia="Times New Roman" w:hAnsi="Times New Roman" w:cs="Times New Roman"/>
        </w:rPr>
        <w:t xml:space="preserve">) The expression of Gpr137b mRNA normalized to 18S rRNA was evaluated </w:t>
      </w:r>
      <w:r>
        <w:rPr>
          <w:rFonts w:ascii="Times New Roman" w:hAnsi="Times New Roman" w:cs="Times New Roman" w:hint="eastAsia"/>
        </w:rPr>
        <w:t>using</w:t>
      </w:r>
      <w:r w:rsidRPr="797184D5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qRT</w:t>
      </w:r>
      <w:proofErr w:type="spellEnd"/>
      <w:r>
        <w:rPr>
          <w:rFonts w:ascii="Times New Roman" w:eastAsia="Times New Roman" w:hAnsi="Times New Roman" w:cs="Times New Roman"/>
        </w:rPr>
        <w:t>–PCR</w:t>
      </w:r>
      <w:r w:rsidRPr="797184D5">
        <w:rPr>
          <w:rFonts w:ascii="Times New Roman" w:eastAsia="Times New Roman" w:hAnsi="Times New Roman" w:cs="Times New Roman"/>
        </w:rPr>
        <w:t xml:space="preserve">. </w:t>
      </w:r>
    </w:p>
    <w:p w14:paraId="2C9C6861" w14:textId="77777777" w:rsidR="007A07B0" w:rsidRPr="004262D9" w:rsidRDefault="007A07B0" w:rsidP="007A07B0">
      <w:pPr>
        <w:snapToGrid w:val="0"/>
        <w:spacing w:after="0" w:line="480" w:lineRule="auto"/>
        <w:rPr>
          <w:rFonts w:ascii="Times New Roman" w:eastAsia="Times New Roman" w:hAnsi="Times New Roman" w:cs="Times New Roman"/>
        </w:rPr>
      </w:pPr>
    </w:p>
    <w:p w14:paraId="075D2204" w14:textId="77777777" w:rsidR="007A07B0" w:rsidRPr="004262D9" w:rsidRDefault="007A07B0" w:rsidP="007A07B0">
      <w:pPr>
        <w:snapToGrid w:val="0"/>
        <w:spacing w:after="0" w:line="480" w:lineRule="auto"/>
        <w:rPr>
          <w:rFonts w:ascii="Times New Roman" w:eastAsia="Times New Roman" w:hAnsi="Times New Roman" w:cs="Times New Roman"/>
        </w:rPr>
      </w:pPr>
      <w:r w:rsidRPr="797184D5">
        <w:rPr>
          <w:rFonts w:ascii="Times New Roman" w:eastAsia="Times New Roman" w:hAnsi="Times New Roman" w:cs="Times New Roman"/>
          <w:b/>
          <w:bCs/>
        </w:rPr>
        <w:t xml:space="preserve">Supplementary Figure S4. UMAP-based visualization of the CZ </w:t>
      </w:r>
      <w:proofErr w:type="spellStart"/>
      <w:r w:rsidRPr="797184D5">
        <w:rPr>
          <w:rFonts w:ascii="Times New Roman" w:eastAsia="Times New Roman" w:hAnsi="Times New Roman" w:cs="Times New Roman"/>
          <w:b/>
          <w:bCs/>
        </w:rPr>
        <w:t>CELLxGENE</w:t>
      </w:r>
      <w:proofErr w:type="spellEnd"/>
      <w:r w:rsidRPr="797184D5">
        <w:rPr>
          <w:rFonts w:ascii="Times New Roman" w:eastAsia="Times New Roman" w:hAnsi="Times New Roman" w:cs="Times New Roman"/>
          <w:b/>
          <w:bCs/>
        </w:rPr>
        <w:t xml:space="preserve"> single-cell dataset of white blood cells from mouse embryos. </w:t>
      </w:r>
      <w:r w:rsidRPr="797184D5">
        <w:rPr>
          <w:rFonts w:ascii="Times New Roman" w:eastAsia="Times New Roman" w:hAnsi="Times New Roman" w:cs="Times New Roman"/>
        </w:rPr>
        <w:t>In the UMAP projection with annotated cell clusters (</w:t>
      </w:r>
      <w:r>
        <w:rPr>
          <w:rFonts w:ascii="Times New Roman" w:hAnsi="Times New Roman" w:cs="Times New Roman" w:hint="eastAsia"/>
        </w:rPr>
        <w:t>a</w:t>
      </w:r>
      <w:r w:rsidRPr="797184D5">
        <w:rPr>
          <w:rFonts w:ascii="Times New Roman" w:eastAsia="Times New Roman" w:hAnsi="Times New Roman" w:cs="Times New Roman"/>
        </w:rPr>
        <w:t xml:space="preserve">), the expression of </w:t>
      </w:r>
      <w:r w:rsidRPr="797184D5">
        <w:rPr>
          <w:rFonts w:ascii="Times New Roman" w:eastAsia="Times New Roman" w:hAnsi="Times New Roman" w:cs="Times New Roman"/>
          <w:i/>
          <w:iCs/>
        </w:rPr>
        <w:t>Gpr137b</w:t>
      </w:r>
      <w:r w:rsidRPr="797184D5"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hAnsi="Times New Roman" w:cs="Times New Roman" w:hint="eastAsia"/>
        </w:rPr>
        <w:t>b</w:t>
      </w:r>
      <w:r w:rsidRPr="797184D5">
        <w:rPr>
          <w:rFonts w:ascii="Times New Roman" w:eastAsia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,</w:t>
      </w:r>
      <w:r w:rsidRPr="797184D5">
        <w:rPr>
          <w:rFonts w:ascii="Times New Roman" w:eastAsia="Times New Roman" w:hAnsi="Times New Roman" w:cs="Times New Roman"/>
        </w:rPr>
        <w:t xml:space="preserve"> as well as </w:t>
      </w:r>
      <w:proofErr w:type="spellStart"/>
      <w:r w:rsidRPr="797184D5">
        <w:rPr>
          <w:rFonts w:ascii="Times New Roman" w:eastAsia="Times New Roman" w:hAnsi="Times New Roman" w:cs="Times New Roman"/>
          <w:i/>
          <w:iCs/>
        </w:rPr>
        <w:t>Ctsk</w:t>
      </w:r>
      <w:proofErr w:type="spellEnd"/>
      <w:r w:rsidRPr="797184D5"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hAnsi="Times New Roman" w:cs="Times New Roman" w:hint="eastAsia"/>
        </w:rPr>
        <w:t>c</w:t>
      </w:r>
      <w:r w:rsidRPr="797184D5">
        <w:rPr>
          <w:rFonts w:ascii="Times New Roman" w:eastAsia="Times New Roman" w:hAnsi="Times New Roman" w:cs="Times New Roman"/>
        </w:rPr>
        <w:t xml:space="preserve">) and </w:t>
      </w:r>
      <w:r w:rsidRPr="797184D5">
        <w:rPr>
          <w:rFonts w:ascii="Times New Roman" w:eastAsia="Times New Roman" w:hAnsi="Times New Roman" w:cs="Times New Roman"/>
          <w:i/>
          <w:iCs/>
        </w:rPr>
        <w:t>Acp5</w:t>
      </w:r>
      <w:r w:rsidRPr="797184D5"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hAnsi="Times New Roman" w:cs="Times New Roman" w:hint="eastAsia"/>
        </w:rPr>
        <w:t>d</w:t>
      </w:r>
      <w:r w:rsidRPr="797184D5">
        <w:rPr>
          <w:rFonts w:ascii="Times New Roman" w:eastAsia="Times New Roman" w:hAnsi="Times New Roman" w:cs="Times New Roman"/>
        </w:rPr>
        <w:t xml:space="preserve">) mRNAs was localized in </w:t>
      </w:r>
      <w:r>
        <w:rPr>
          <w:rFonts w:ascii="Times New Roman" w:hAnsi="Times New Roman" w:cs="Times New Roman" w:hint="eastAsia"/>
        </w:rPr>
        <w:t xml:space="preserve">cells assigned to </w:t>
      </w:r>
      <w:r w:rsidRPr="797184D5">
        <w:rPr>
          <w:rFonts w:ascii="Times New Roman" w:eastAsia="Times New Roman" w:hAnsi="Times New Roman" w:cs="Times New Roman"/>
        </w:rPr>
        <w:t>the cluster annotated as 'osteoclast'.</w:t>
      </w:r>
    </w:p>
    <w:p w14:paraId="1AEE9F97" w14:textId="77777777" w:rsidR="007A07B0" w:rsidRPr="004262D9" w:rsidRDefault="007A07B0" w:rsidP="007A07B0">
      <w:pPr>
        <w:snapToGrid w:val="0"/>
        <w:spacing w:after="0" w:line="480" w:lineRule="auto"/>
        <w:rPr>
          <w:rFonts w:ascii="Times New Roman" w:eastAsia="Times New Roman" w:hAnsi="Times New Roman" w:cs="Times New Roman"/>
        </w:rPr>
      </w:pPr>
    </w:p>
    <w:p w14:paraId="4F6D16CE" w14:textId="77777777" w:rsidR="007A07B0" w:rsidRPr="004262D9" w:rsidRDefault="007A07B0" w:rsidP="007A07B0">
      <w:pPr>
        <w:snapToGrid w:val="0"/>
        <w:spacing w:after="0" w:line="480" w:lineRule="auto"/>
        <w:rPr>
          <w:rFonts w:ascii="Times New Roman" w:eastAsia="Times New Roman" w:hAnsi="Times New Roman" w:cs="Times New Roman"/>
        </w:rPr>
      </w:pPr>
      <w:r w:rsidRPr="797184D5">
        <w:rPr>
          <w:rFonts w:ascii="Times New Roman" w:eastAsia="Times New Roman" w:hAnsi="Times New Roman" w:cs="Times New Roman"/>
          <w:b/>
          <w:bCs/>
        </w:rPr>
        <w:t xml:space="preserve">Supplementary Figure S5. UMAP-based visualization of the CZ </w:t>
      </w:r>
      <w:proofErr w:type="spellStart"/>
      <w:r w:rsidRPr="797184D5">
        <w:rPr>
          <w:rFonts w:ascii="Times New Roman" w:eastAsia="Times New Roman" w:hAnsi="Times New Roman" w:cs="Times New Roman"/>
          <w:b/>
          <w:bCs/>
        </w:rPr>
        <w:t>CELLxGENE</w:t>
      </w:r>
      <w:proofErr w:type="spellEnd"/>
      <w:r w:rsidRPr="797184D5">
        <w:rPr>
          <w:rFonts w:ascii="Times New Roman" w:eastAsia="Times New Roman" w:hAnsi="Times New Roman" w:cs="Times New Roman"/>
          <w:b/>
          <w:bCs/>
        </w:rPr>
        <w:t xml:space="preserve"> single-cell dataset of white blood cells from human bone marrow cells.</w:t>
      </w:r>
      <w:r w:rsidRPr="797184D5">
        <w:rPr>
          <w:rFonts w:ascii="Times New Roman" w:eastAsia="Times New Roman" w:hAnsi="Times New Roman" w:cs="Times New Roman"/>
        </w:rPr>
        <w:t xml:space="preserve"> In the UMAP projection with annotated cell clusters (</w:t>
      </w:r>
      <w:r>
        <w:rPr>
          <w:rFonts w:ascii="Times New Roman" w:hAnsi="Times New Roman" w:cs="Times New Roman" w:hint="eastAsia"/>
        </w:rPr>
        <w:t>a</w:t>
      </w:r>
      <w:r w:rsidRPr="797184D5">
        <w:rPr>
          <w:rFonts w:ascii="Times New Roman" w:eastAsia="Times New Roman" w:hAnsi="Times New Roman" w:cs="Times New Roman"/>
        </w:rPr>
        <w:t xml:space="preserve">), the expression of </w:t>
      </w:r>
      <w:r w:rsidRPr="797184D5">
        <w:rPr>
          <w:rFonts w:ascii="Times New Roman" w:eastAsia="Times New Roman" w:hAnsi="Times New Roman" w:cs="Times New Roman"/>
          <w:i/>
          <w:iCs/>
        </w:rPr>
        <w:t>Gpr137b</w:t>
      </w:r>
      <w:r w:rsidRPr="797184D5"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hAnsi="Times New Roman" w:cs="Times New Roman" w:hint="eastAsia"/>
        </w:rPr>
        <w:t>b</w:t>
      </w:r>
      <w:r w:rsidRPr="797184D5">
        <w:rPr>
          <w:rFonts w:ascii="Times New Roman" w:eastAsia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,</w:t>
      </w:r>
      <w:r w:rsidRPr="797184D5">
        <w:rPr>
          <w:rFonts w:ascii="Times New Roman" w:eastAsia="Times New Roman" w:hAnsi="Times New Roman" w:cs="Times New Roman"/>
        </w:rPr>
        <w:t xml:space="preserve"> as well as </w:t>
      </w:r>
      <w:proofErr w:type="spellStart"/>
      <w:r w:rsidRPr="797184D5">
        <w:rPr>
          <w:rFonts w:ascii="Times New Roman" w:eastAsia="Times New Roman" w:hAnsi="Times New Roman" w:cs="Times New Roman"/>
          <w:i/>
          <w:iCs/>
        </w:rPr>
        <w:t>Ctsk</w:t>
      </w:r>
      <w:proofErr w:type="spellEnd"/>
      <w:r w:rsidRPr="797184D5"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hAnsi="Times New Roman" w:cs="Times New Roman" w:hint="eastAsia"/>
        </w:rPr>
        <w:t>c</w:t>
      </w:r>
      <w:r w:rsidRPr="797184D5">
        <w:rPr>
          <w:rFonts w:ascii="Times New Roman" w:eastAsia="Times New Roman" w:hAnsi="Times New Roman" w:cs="Times New Roman"/>
        </w:rPr>
        <w:t xml:space="preserve">) and </w:t>
      </w:r>
      <w:r w:rsidRPr="797184D5">
        <w:rPr>
          <w:rFonts w:ascii="Times New Roman" w:eastAsia="Times New Roman" w:hAnsi="Times New Roman" w:cs="Times New Roman"/>
          <w:i/>
          <w:iCs/>
        </w:rPr>
        <w:t>Acp5</w:t>
      </w:r>
      <w:r w:rsidRPr="797184D5"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hAnsi="Times New Roman" w:cs="Times New Roman" w:hint="eastAsia"/>
        </w:rPr>
        <w:t>d</w:t>
      </w:r>
      <w:r w:rsidRPr="797184D5">
        <w:rPr>
          <w:rFonts w:ascii="Times New Roman" w:eastAsia="Times New Roman" w:hAnsi="Times New Roman" w:cs="Times New Roman"/>
        </w:rPr>
        <w:t>) mRNAs was localized in</w:t>
      </w:r>
      <w:r>
        <w:rPr>
          <w:rFonts w:ascii="Times New Roman" w:hAnsi="Times New Roman" w:cs="Times New Roman" w:hint="eastAsia"/>
        </w:rPr>
        <w:t xml:space="preserve"> cells assigned to</w:t>
      </w:r>
      <w:r w:rsidRPr="797184D5">
        <w:rPr>
          <w:rFonts w:ascii="Times New Roman" w:eastAsia="Times New Roman" w:hAnsi="Times New Roman" w:cs="Times New Roman"/>
        </w:rPr>
        <w:t xml:space="preserve"> the cluster annotated as 'osteoclast'.</w:t>
      </w:r>
    </w:p>
    <w:p w14:paraId="2710CA75" w14:textId="77777777" w:rsidR="007A07B0" w:rsidRPr="004262D9" w:rsidRDefault="007A07B0" w:rsidP="007A07B0">
      <w:pPr>
        <w:snapToGrid w:val="0"/>
        <w:spacing w:after="0" w:line="480" w:lineRule="auto"/>
        <w:rPr>
          <w:rFonts w:ascii="Times New Roman" w:eastAsia="Times New Roman" w:hAnsi="Times New Roman" w:cs="Times New Roman"/>
        </w:rPr>
      </w:pPr>
    </w:p>
    <w:p w14:paraId="4A33BA61" w14:textId="77777777" w:rsidR="007A07B0" w:rsidRDefault="007A07B0" w:rsidP="007A07B0">
      <w:pPr>
        <w:snapToGrid w:val="0"/>
        <w:spacing w:after="0" w:line="480" w:lineRule="auto"/>
        <w:rPr>
          <w:rFonts w:ascii="Times New Roman" w:hAnsi="Times New Roman" w:cs="Times New Roman"/>
        </w:rPr>
      </w:pPr>
      <w:r w:rsidRPr="797184D5">
        <w:rPr>
          <w:rFonts w:ascii="Times New Roman" w:eastAsia="Times New Roman" w:hAnsi="Times New Roman" w:cs="Times New Roman"/>
          <w:b/>
          <w:bCs/>
        </w:rPr>
        <w:t xml:space="preserve">Supplementary Figure S6. CRISPR/Cas9-based deletion of the </w:t>
      </w:r>
      <w:r w:rsidRPr="797184D5">
        <w:rPr>
          <w:rFonts w:ascii="Times New Roman" w:eastAsia="Times New Roman" w:hAnsi="Times New Roman" w:cs="Times New Roman"/>
          <w:b/>
          <w:bCs/>
          <w:i/>
          <w:iCs/>
        </w:rPr>
        <w:t>Gpr137b</w:t>
      </w:r>
      <w:r w:rsidRPr="797184D5">
        <w:rPr>
          <w:rFonts w:ascii="Times New Roman" w:eastAsia="Times New Roman" w:hAnsi="Times New Roman" w:cs="Times New Roman"/>
          <w:b/>
          <w:bCs/>
        </w:rPr>
        <w:t xml:space="preserve"> gene in the mouse genome. </w:t>
      </w:r>
      <w:r w:rsidRPr="797184D5">
        <w:rPr>
          <w:rFonts w:ascii="Times New Roman" w:eastAsia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a</w:t>
      </w:r>
      <w:r w:rsidRPr="797184D5"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hAnsi="Times New Roman" w:cs="Times New Roman" w:hint="eastAsia"/>
        </w:rPr>
        <w:t>E</w:t>
      </w:r>
      <w:r w:rsidRPr="797184D5">
        <w:rPr>
          <w:rFonts w:ascii="Times New Roman" w:eastAsia="Times New Roman" w:hAnsi="Times New Roman" w:cs="Times New Roman"/>
        </w:rPr>
        <w:t xml:space="preserve">xon 3-containing region deleted in the mouse </w:t>
      </w:r>
      <w:r w:rsidRPr="797184D5">
        <w:rPr>
          <w:rFonts w:ascii="Times New Roman" w:eastAsia="Times New Roman" w:hAnsi="Times New Roman" w:cs="Times New Roman"/>
          <w:i/>
          <w:iCs/>
        </w:rPr>
        <w:t>Gpr137b</w:t>
      </w:r>
      <w:r w:rsidRPr="797184D5">
        <w:rPr>
          <w:rFonts w:ascii="Times New Roman" w:eastAsia="Times New Roman" w:hAnsi="Times New Roman" w:cs="Times New Roman"/>
        </w:rPr>
        <w:t xml:space="preserve"> gene locus.  (</w:t>
      </w:r>
      <w:r>
        <w:rPr>
          <w:rFonts w:ascii="Times New Roman" w:hAnsi="Times New Roman" w:cs="Times New Roman" w:hint="eastAsia"/>
        </w:rPr>
        <w:t>b</w:t>
      </w:r>
      <w:r w:rsidRPr="797184D5"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hAnsi="Times New Roman" w:cs="Times New Roman" w:hint="eastAsia"/>
        </w:rPr>
        <w:t>N</w:t>
      </w:r>
      <w:r w:rsidRPr="797184D5">
        <w:rPr>
          <w:rFonts w:ascii="Times New Roman" w:eastAsia="Times New Roman" w:hAnsi="Times New Roman" w:cs="Times New Roman"/>
        </w:rPr>
        <w:t xml:space="preserve">ucleotide sequence </w:t>
      </w:r>
      <w:r w:rsidRPr="797184D5">
        <w:rPr>
          <w:rFonts w:ascii="Times New Roman" w:eastAsia="Times New Roman" w:hAnsi="Times New Roman" w:cs="Times New Roman"/>
        </w:rPr>
        <w:lastRenderedPageBreak/>
        <w:t xml:space="preserve">alignment of the </w:t>
      </w:r>
      <w:r w:rsidRPr="797184D5">
        <w:rPr>
          <w:rFonts w:ascii="Times New Roman" w:eastAsia="Times New Roman" w:hAnsi="Times New Roman" w:cs="Times New Roman"/>
          <w:i/>
          <w:iCs/>
        </w:rPr>
        <w:t>Gpr137b</w:t>
      </w:r>
      <w:r w:rsidRPr="797184D5">
        <w:rPr>
          <w:rFonts w:ascii="Times New Roman" w:eastAsia="Times New Roman" w:hAnsi="Times New Roman" w:cs="Times New Roman"/>
        </w:rPr>
        <w:t xml:space="preserve"> exon 3-containing region with the corresponding region of the mouse </w:t>
      </w:r>
      <w:r w:rsidRPr="797184D5">
        <w:rPr>
          <w:rFonts w:ascii="Times New Roman" w:eastAsia="Times New Roman" w:hAnsi="Times New Roman" w:cs="Times New Roman"/>
          <w:i/>
          <w:iCs/>
        </w:rPr>
        <w:t>Gpr137b-ps</w:t>
      </w:r>
      <w:r w:rsidRPr="797184D5">
        <w:rPr>
          <w:rFonts w:ascii="Times New Roman" w:eastAsia="Times New Roman" w:hAnsi="Times New Roman" w:cs="Times New Roman"/>
        </w:rPr>
        <w:t xml:space="preserve"> gene.</w:t>
      </w:r>
    </w:p>
    <w:p w14:paraId="3D81E6D7" w14:textId="77777777" w:rsidR="007A07B0" w:rsidRDefault="007A07B0" w:rsidP="007A07B0">
      <w:pPr>
        <w:snapToGrid w:val="0"/>
        <w:spacing w:after="0" w:line="480" w:lineRule="auto"/>
        <w:rPr>
          <w:rFonts w:ascii="Times New Roman" w:hAnsi="Times New Roman" w:cs="Times New Roman"/>
        </w:rPr>
      </w:pPr>
    </w:p>
    <w:p w14:paraId="3B81AA83" w14:textId="77777777" w:rsidR="007A07B0" w:rsidRPr="0030037D" w:rsidRDefault="007A07B0" w:rsidP="007A07B0">
      <w:pPr>
        <w:snapToGrid w:val="0"/>
        <w:spacing w:after="0" w:line="480" w:lineRule="auto"/>
        <w:rPr>
          <w:rFonts w:ascii="Times New Roman" w:hAnsi="Times New Roman" w:cs="Times New Roman"/>
        </w:rPr>
      </w:pPr>
      <w:r w:rsidRPr="797184D5">
        <w:rPr>
          <w:rFonts w:ascii="Times New Roman" w:eastAsia="Times New Roman" w:hAnsi="Times New Roman" w:cs="Times New Roman"/>
          <w:b/>
          <w:bCs/>
        </w:rPr>
        <w:t>Supplementary Figure S</w:t>
      </w:r>
      <w:r>
        <w:rPr>
          <w:rFonts w:ascii="Times New Roman" w:hAnsi="Times New Roman" w:cs="Times New Roman" w:hint="eastAsia"/>
          <w:b/>
          <w:bCs/>
        </w:rPr>
        <w:t>7. Original gel image for Figure 2b</w:t>
      </w:r>
    </w:p>
    <w:p w14:paraId="78772659" w14:textId="77777777" w:rsidR="007A07B0" w:rsidRDefault="007A07B0" w:rsidP="007A07B0">
      <w:pPr>
        <w:snapToGrid w:val="0"/>
        <w:spacing w:after="0" w:line="480" w:lineRule="auto"/>
        <w:rPr>
          <w:rFonts w:ascii="Times New Roman" w:hAnsi="Times New Roman" w:cs="Times New Roman"/>
        </w:rPr>
      </w:pPr>
    </w:p>
    <w:p w14:paraId="0E071E78" w14:textId="77777777" w:rsidR="007A07B0" w:rsidRPr="0030037D" w:rsidRDefault="007A07B0" w:rsidP="007A07B0">
      <w:pPr>
        <w:snapToGrid w:val="0"/>
        <w:spacing w:after="0" w:line="480" w:lineRule="auto"/>
        <w:rPr>
          <w:rFonts w:ascii="Times New Roman" w:hAnsi="Times New Roman" w:cs="Times New Roman"/>
        </w:rPr>
      </w:pPr>
      <w:r w:rsidRPr="797184D5">
        <w:rPr>
          <w:rFonts w:ascii="Times New Roman" w:eastAsia="Times New Roman" w:hAnsi="Times New Roman" w:cs="Times New Roman"/>
          <w:b/>
          <w:bCs/>
        </w:rPr>
        <w:t>Supplementary Figure S</w:t>
      </w:r>
      <w:r>
        <w:rPr>
          <w:rFonts w:ascii="Times New Roman" w:hAnsi="Times New Roman" w:cs="Times New Roman" w:hint="eastAsia"/>
          <w:b/>
          <w:bCs/>
        </w:rPr>
        <w:t xml:space="preserve">8. Original western blot image for Figure 5a. </w:t>
      </w:r>
      <w:r w:rsidRPr="00CE50BE">
        <w:rPr>
          <w:rFonts w:ascii="Times New Roman" w:hAnsi="Times New Roman" w:cs="Times New Roman"/>
        </w:rPr>
        <w:t xml:space="preserve">The western blot probed with the anti-mouse GPR137B antibody was stripped and </w:t>
      </w:r>
      <w:proofErr w:type="spellStart"/>
      <w:r w:rsidRPr="00CE50BE">
        <w:rPr>
          <w:rFonts w:ascii="Times New Roman" w:hAnsi="Times New Roman" w:cs="Times New Roman"/>
        </w:rPr>
        <w:t>reprobed</w:t>
      </w:r>
      <w:proofErr w:type="spellEnd"/>
      <w:r w:rsidRPr="00CE50BE">
        <w:rPr>
          <w:rFonts w:ascii="Times New Roman" w:hAnsi="Times New Roman" w:cs="Times New Roman"/>
        </w:rPr>
        <w:t xml:space="preserve"> with the anti-β-actin antibody.</w:t>
      </w:r>
    </w:p>
    <w:p w14:paraId="42289811" w14:textId="77777777" w:rsidR="007A07B0" w:rsidRPr="0030037D" w:rsidRDefault="007A07B0" w:rsidP="007A07B0">
      <w:pPr>
        <w:snapToGrid w:val="0"/>
        <w:spacing w:after="0" w:line="480" w:lineRule="auto"/>
        <w:rPr>
          <w:rFonts w:ascii="Times New Roman" w:hAnsi="Times New Roman" w:cs="Times New Roman"/>
        </w:rPr>
      </w:pPr>
    </w:p>
    <w:p w14:paraId="2A5EA00A" w14:textId="77777777" w:rsidR="007A07B0" w:rsidRPr="004262D9" w:rsidRDefault="007A07B0" w:rsidP="007A07B0">
      <w:pPr>
        <w:snapToGrid w:val="0"/>
        <w:spacing w:after="0" w:line="480" w:lineRule="auto"/>
        <w:rPr>
          <w:rFonts w:ascii="Times New Roman" w:eastAsia="Times New Roman" w:hAnsi="Times New Roman" w:cs="Times New Roman"/>
        </w:rPr>
      </w:pPr>
      <w:r w:rsidRPr="797184D5">
        <w:rPr>
          <w:rFonts w:ascii="Times New Roman" w:eastAsia="Times New Roman" w:hAnsi="Times New Roman" w:cs="Times New Roman"/>
          <w:b/>
          <w:bCs/>
        </w:rPr>
        <w:t>Supplementary Figure S</w:t>
      </w:r>
      <w:r>
        <w:rPr>
          <w:rFonts w:ascii="Times New Roman" w:hAnsi="Times New Roman" w:cs="Times New Roman" w:hint="eastAsia"/>
          <w:b/>
          <w:bCs/>
        </w:rPr>
        <w:t>9</w:t>
      </w:r>
      <w:r w:rsidRPr="797184D5">
        <w:rPr>
          <w:rFonts w:ascii="Times New Roman" w:eastAsia="Times New Roman" w:hAnsi="Times New Roman" w:cs="Times New Roman"/>
          <w:b/>
          <w:bCs/>
        </w:rPr>
        <w:t xml:space="preserve">. Heatmaps visualizing the expression of </w:t>
      </w:r>
      <w:r w:rsidRPr="797184D5">
        <w:rPr>
          <w:rFonts w:ascii="Times New Roman" w:eastAsia="Times New Roman" w:hAnsi="Times New Roman" w:cs="Times New Roman"/>
          <w:b/>
          <w:bCs/>
          <w:i/>
          <w:iCs/>
        </w:rPr>
        <w:t>Gpr137b</w:t>
      </w:r>
      <w:r w:rsidRPr="797184D5">
        <w:rPr>
          <w:rFonts w:ascii="Times New Roman" w:eastAsia="Times New Roman" w:hAnsi="Times New Roman" w:cs="Times New Roman"/>
          <w:b/>
          <w:bCs/>
        </w:rPr>
        <w:t xml:space="preserve"> homologues in single-cell clusters on UMAP.</w:t>
      </w:r>
      <w:r w:rsidRPr="797184D5">
        <w:rPr>
          <w:rFonts w:ascii="Times New Roman" w:eastAsia="Times New Roman" w:hAnsi="Times New Roman" w:cs="Times New Roman"/>
        </w:rPr>
        <w:t xml:space="preserve"> Heatmaps visualizing </w:t>
      </w:r>
      <w:r w:rsidRPr="797184D5">
        <w:rPr>
          <w:rFonts w:ascii="Times New Roman" w:eastAsia="Times New Roman" w:hAnsi="Times New Roman" w:cs="Times New Roman"/>
          <w:i/>
          <w:iCs/>
        </w:rPr>
        <w:t>Gpr137b</w:t>
      </w:r>
      <w:r w:rsidRPr="797184D5">
        <w:rPr>
          <w:rFonts w:ascii="Times New Roman" w:eastAsia="Times New Roman" w:hAnsi="Times New Roman" w:cs="Times New Roman"/>
        </w:rPr>
        <w:t xml:space="preserve">, </w:t>
      </w:r>
      <w:r w:rsidRPr="797184D5">
        <w:rPr>
          <w:rFonts w:ascii="Times New Roman" w:eastAsia="Times New Roman" w:hAnsi="Times New Roman" w:cs="Times New Roman"/>
          <w:i/>
          <w:iCs/>
        </w:rPr>
        <w:t>Gpr137</w:t>
      </w:r>
      <w:r>
        <w:rPr>
          <w:rFonts w:ascii="Times New Roman" w:hAnsi="Times New Roman" w:cs="Times New Roman" w:hint="eastAsia"/>
        </w:rPr>
        <w:t>,</w:t>
      </w:r>
      <w:r w:rsidRPr="797184D5">
        <w:rPr>
          <w:rFonts w:ascii="Times New Roman" w:eastAsia="Times New Roman" w:hAnsi="Times New Roman" w:cs="Times New Roman"/>
          <w:i/>
          <w:iCs/>
        </w:rPr>
        <w:t xml:space="preserve"> </w:t>
      </w:r>
      <w:r w:rsidRPr="797184D5">
        <w:rPr>
          <w:rFonts w:ascii="Times New Roman" w:eastAsia="Times New Roman" w:hAnsi="Times New Roman" w:cs="Times New Roman"/>
        </w:rPr>
        <w:t xml:space="preserve">and </w:t>
      </w:r>
      <w:r w:rsidRPr="797184D5">
        <w:rPr>
          <w:rFonts w:ascii="Times New Roman" w:eastAsia="Times New Roman" w:hAnsi="Times New Roman" w:cs="Times New Roman"/>
          <w:i/>
          <w:iCs/>
        </w:rPr>
        <w:t>Gpr137c</w:t>
      </w:r>
      <w:r w:rsidRPr="797184D5">
        <w:rPr>
          <w:rFonts w:ascii="Times New Roman" w:eastAsia="Times New Roman" w:hAnsi="Times New Roman" w:cs="Times New Roman"/>
        </w:rPr>
        <w:t xml:space="preserve"> mRNA expression in clusters of human bone marrow-derived cell types (</w:t>
      </w:r>
      <w:r>
        <w:rPr>
          <w:rFonts w:ascii="Times New Roman" w:hAnsi="Times New Roman" w:cs="Times New Roman" w:hint="eastAsia"/>
        </w:rPr>
        <w:t>a</w:t>
      </w:r>
      <w:r w:rsidRPr="797184D5">
        <w:rPr>
          <w:rFonts w:ascii="Times New Roman" w:eastAsia="Times New Roman" w:hAnsi="Times New Roman" w:cs="Times New Roman"/>
        </w:rPr>
        <w:t>) and mouse white blood cell-derived cell types (</w:t>
      </w:r>
      <w:r>
        <w:rPr>
          <w:rFonts w:ascii="Times New Roman" w:hAnsi="Times New Roman" w:cs="Times New Roman" w:hint="eastAsia"/>
        </w:rPr>
        <w:t>b</w:t>
      </w:r>
      <w:r w:rsidRPr="797184D5">
        <w:rPr>
          <w:rFonts w:ascii="Times New Roman" w:eastAsia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,</w:t>
      </w:r>
      <w:r w:rsidRPr="797184D5">
        <w:rPr>
          <w:rFonts w:ascii="Times New Roman" w:eastAsia="Times New Roman" w:hAnsi="Times New Roman" w:cs="Times New Roman"/>
        </w:rPr>
        <w:t xml:space="preserve"> including osteoclast</w:t>
      </w:r>
      <w:r>
        <w:rPr>
          <w:rFonts w:ascii="Times New Roman" w:hAnsi="Times New Roman" w:cs="Times New Roman" w:hint="eastAsia"/>
        </w:rPr>
        <w:t>s</w:t>
      </w:r>
      <w:r w:rsidRPr="797184D5">
        <w:rPr>
          <w:rFonts w:ascii="Times New Roman" w:eastAsia="Times New Roman" w:hAnsi="Times New Roman" w:cs="Times New Roman"/>
        </w:rPr>
        <w:t>. (</w:t>
      </w:r>
      <w:r>
        <w:rPr>
          <w:rFonts w:ascii="Times New Roman" w:hAnsi="Times New Roman" w:cs="Times New Roman" w:hint="eastAsia"/>
        </w:rPr>
        <w:t>c</w:t>
      </w:r>
      <w:r w:rsidRPr="797184D5">
        <w:rPr>
          <w:rFonts w:ascii="Times New Roman" w:eastAsia="Times New Roman" w:hAnsi="Times New Roman" w:cs="Times New Roman"/>
        </w:rPr>
        <w:t xml:space="preserve">) Heatmaps visualizing </w:t>
      </w:r>
      <w:r w:rsidRPr="797184D5">
        <w:rPr>
          <w:rFonts w:ascii="Times New Roman" w:eastAsia="Times New Roman" w:hAnsi="Times New Roman" w:cs="Times New Roman"/>
          <w:i/>
          <w:iCs/>
        </w:rPr>
        <w:t>Gpr137b</w:t>
      </w:r>
      <w:r w:rsidRPr="797184D5">
        <w:rPr>
          <w:rFonts w:ascii="Times New Roman" w:eastAsia="Times New Roman" w:hAnsi="Times New Roman" w:cs="Times New Roman"/>
        </w:rPr>
        <w:t xml:space="preserve">, </w:t>
      </w:r>
      <w:r w:rsidRPr="797184D5">
        <w:rPr>
          <w:rFonts w:ascii="Times New Roman" w:eastAsia="Times New Roman" w:hAnsi="Times New Roman" w:cs="Times New Roman"/>
          <w:i/>
          <w:iCs/>
        </w:rPr>
        <w:t>Gpr137</w:t>
      </w:r>
      <w:r w:rsidRPr="797184D5">
        <w:rPr>
          <w:rFonts w:ascii="Times New Roman" w:eastAsia="Times New Roman" w:hAnsi="Times New Roman" w:cs="Times New Roman"/>
        </w:rPr>
        <w:t xml:space="preserve"> and </w:t>
      </w:r>
      <w:r w:rsidRPr="797184D5">
        <w:rPr>
          <w:rFonts w:ascii="Times New Roman" w:eastAsia="Times New Roman" w:hAnsi="Times New Roman" w:cs="Times New Roman"/>
          <w:i/>
          <w:iCs/>
        </w:rPr>
        <w:t>Gpr137c</w:t>
      </w:r>
      <w:r w:rsidRPr="797184D5">
        <w:rPr>
          <w:rFonts w:ascii="Times New Roman" w:eastAsia="Times New Roman" w:hAnsi="Times New Roman" w:cs="Times New Roman"/>
        </w:rPr>
        <w:t xml:space="preserve"> mRNA expression in the cell type clusters of mouse bone marrow-derived cells, including osteoclast</w:t>
      </w:r>
      <w:r>
        <w:rPr>
          <w:rFonts w:ascii="Times New Roman" w:hAnsi="Times New Roman" w:cs="Times New Roman" w:hint="eastAsia"/>
        </w:rPr>
        <w:t>s</w:t>
      </w:r>
      <w:r w:rsidRPr="797184D5">
        <w:rPr>
          <w:rFonts w:ascii="Times New Roman" w:eastAsia="Times New Roman" w:hAnsi="Times New Roman" w:cs="Times New Roman"/>
        </w:rPr>
        <w:t xml:space="preserve">, from </w:t>
      </w:r>
      <w:r w:rsidRPr="797184D5">
        <w:rPr>
          <w:rFonts w:ascii="Times New Roman" w:eastAsia="Times New Roman" w:hAnsi="Times New Roman" w:cs="Times New Roman"/>
          <w:i/>
          <w:iCs/>
        </w:rPr>
        <w:t>Gpr137b</w:t>
      </w:r>
      <w:r w:rsidRPr="797184D5">
        <w:rPr>
          <w:rFonts w:ascii="Times New Roman" w:eastAsia="Times New Roman" w:hAnsi="Times New Roman" w:cs="Times New Roman"/>
        </w:rPr>
        <w:t>-</w:t>
      </w:r>
      <w:r>
        <w:rPr>
          <w:rFonts w:ascii="Times New Roman" w:hAnsi="Times New Roman" w:cs="Times New Roman" w:hint="eastAsia"/>
        </w:rPr>
        <w:t xml:space="preserve">KO and </w:t>
      </w:r>
      <w:r w:rsidRPr="797184D5">
        <w:rPr>
          <w:rFonts w:ascii="Times New Roman" w:eastAsia="Times New Roman" w:hAnsi="Times New Roman" w:cs="Times New Roman"/>
        </w:rPr>
        <w:t>WT and mice.</w:t>
      </w:r>
    </w:p>
    <w:p w14:paraId="0B2E6DA3" w14:textId="77777777" w:rsidR="007A07B0" w:rsidRPr="004262D9" w:rsidRDefault="007A07B0" w:rsidP="007A07B0">
      <w:pPr>
        <w:snapToGrid w:val="0"/>
        <w:spacing w:after="0" w:line="480" w:lineRule="auto"/>
        <w:rPr>
          <w:rFonts w:ascii="Times New Roman" w:eastAsia="Times New Roman" w:hAnsi="Times New Roman" w:cs="Times New Roman"/>
        </w:rPr>
      </w:pPr>
    </w:p>
    <w:p w14:paraId="0F30BD11" w14:textId="77777777" w:rsidR="007A07B0" w:rsidRPr="004262D9" w:rsidRDefault="007A07B0" w:rsidP="007A07B0">
      <w:pPr>
        <w:snapToGrid w:val="0"/>
        <w:spacing w:after="0" w:line="480" w:lineRule="auto"/>
        <w:rPr>
          <w:rFonts w:ascii="Times New Roman" w:eastAsia="Times New Roman" w:hAnsi="Times New Roman" w:cs="Times New Roman"/>
        </w:rPr>
      </w:pPr>
      <w:r w:rsidRPr="797184D5">
        <w:rPr>
          <w:rFonts w:ascii="Times New Roman" w:eastAsia="Times New Roman" w:hAnsi="Times New Roman" w:cs="Times New Roman"/>
          <w:b/>
          <w:bCs/>
        </w:rPr>
        <w:t>Supplementary Figure S</w:t>
      </w:r>
      <w:r>
        <w:rPr>
          <w:rFonts w:ascii="Times New Roman" w:hAnsi="Times New Roman" w:cs="Times New Roman" w:hint="eastAsia"/>
          <w:b/>
          <w:bCs/>
        </w:rPr>
        <w:t>10</w:t>
      </w:r>
      <w:r w:rsidRPr="797184D5">
        <w:rPr>
          <w:rFonts w:ascii="Times New Roman" w:eastAsia="Times New Roman" w:hAnsi="Times New Roman" w:cs="Times New Roman"/>
          <w:b/>
          <w:bCs/>
        </w:rPr>
        <w:t>. RANKL-induced osteoclastic differentiation of RAW264 cells with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797184D5">
        <w:rPr>
          <w:rFonts w:ascii="Times New Roman" w:eastAsia="Times New Roman" w:hAnsi="Times New Roman" w:cs="Times New Roman"/>
          <w:b/>
          <w:bCs/>
        </w:rPr>
        <w:t xml:space="preserve">adenovirus-mediated overexpression of </w:t>
      </w:r>
      <w:r w:rsidRPr="797184D5">
        <w:rPr>
          <w:rFonts w:ascii="Times New Roman" w:eastAsia="Times New Roman" w:hAnsi="Times New Roman" w:cs="Times New Roman"/>
          <w:b/>
          <w:bCs/>
          <w:i/>
          <w:iCs/>
        </w:rPr>
        <w:t>Gpr137b</w:t>
      </w:r>
      <w:r w:rsidRPr="797184D5">
        <w:rPr>
          <w:rFonts w:ascii="Times New Roman" w:eastAsia="Times New Roman" w:hAnsi="Times New Roman" w:cs="Times New Roman"/>
          <w:b/>
          <w:bCs/>
        </w:rPr>
        <w:t xml:space="preserve">. </w:t>
      </w:r>
      <w:r w:rsidRPr="797184D5">
        <w:rPr>
          <w:rFonts w:ascii="Times New Roman" w:eastAsia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a</w:t>
      </w:r>
      <w:r w:rsidRPr="797184D5">
        <w:rPr>
          <w:rFonts w:ascii="Times New Roman" w:eastAsia="Times New Roman" w:hAnsi="Times New Roman" w:cs="Times New Roman"/>
        </w:rPr>
        <w:t>) The number of multinucleate TRAP-positive cells with nucleus numbers of 3-5, 6-10, and</w:t>
      </w:r>
      <w:r w:rsidRPr="00297574">
        <w:rPr>
          <w:rFonts w:ascii="Times New Roman" w:eastAsia="Times New Roman" w:hAnsi="Times New Roman" w:cs="Times New Roman"/>
        </w:rPr>
        <w:t> ≥</w:t>
      </w:r>
      <w:r w:rsidRPr="797184D5">
        <w:rPr>
          <w:rFonts w:ascii="Times New Roman" w:eastAsia="Times New Roman" w:hAnsi="Times New Roman" w:cs="Times New Roman"/>
        </w:rPr>
        <w:t>11, correspond</w:t>
      </w:r>
      <w:r>
        <w:rPr>
          <w:rFonts w:ascii="Times New Roman" w:hAnsi="Times New Roman" w:cs="Times New Roman" w:hint="eastAsia"/>
        </w:rPr>
        <w:t>ing</w:t>
      </w:r>
      <w:r w:rsidRPr="797184D5">
        <w:rPr>
          <w:rFonts w:ascii="Times New Roman" w:eastAsia="Times New Roman" w:hAnsi="Times New Roman" w:cs="Times New Roman"/>
        </w:rPr>
        <w:t xml:space="preserve"> to small-, m</w:t>
      </w:r>
      <w:r>
        <w:rPr>
          <w:rFonts w:ascii="Times New Roman" w:hAnsi="Times New Roman" w:cs="Times New Roman" w:hint="eastAsia"/>
        </w:rPr>
        <w:t>edium</w:t>
      </w:r>
      <w:r w:rsidRPr="797184D5">
        <w:rPr>
          <w:rFonts w:ascii="Times New Roman" w:eastAsia="Times New Roman" w:hAnsi="Times New Roman" w:cs="Times New Roman"/>
        </w:rPr>
        <w:t>-</w:t>
      </w:r>
      <w:r>
        <w:rPr>
          <w:rFonts w:ascii="Times New Roman" w:hAnsi="Times New Roman" w:cs="Times New Roman" w:hint="eastAsia"/>
        </w:rPr>
        <w:t xml:space="preserve">, </w:t>
      </w:r>
      <w:r w:rsidRPr="797184D5">
        <w:rPr>
          <w:rFonts w:ascii="Times New Roman" w:eastAsia="Times New Roman" w:hAnsi="Times New Roman" w:cs="Times New Roman"/>
        </w:rPr>
        <w:t>and large-sized osteoclasts, respectively. (</w:t>
      </w:r>
      <w:r>
        <w:rPr>
          <w:rFonts w:ascii="Times New Roman" w:hAnsi="Times New Roman" w:cs="Times New Roman" w:hint="eastAsia"/>
        </w:rPr>
        <w:t>b</w:t>
      </w:r>
      <w:r w:rsidRPr="797184D5">
        <w:rPr>
          <w:rFonts w:ascii="Times New Roman" w:eastAsia="Times New Roman" w:hAnsi="Times New Roman" w:cs="Times New Roman"/>
        </w:rPr>
        <w:t xml:space="preserve">) </w:t>
      </w:r>
      <w:proofErr w:type="spellStart"/>
      <w:r>
        <w:rPr>
          <w:rFonts w:ascii="Times New Roman" w:eastAsia="Times New Roman" w:hAnsi="Times New Roman" w:cs="Times New Roman"/>
        </w:rPr>
        <w:t>qRT</w:t>
      </w:r>
      <w:proofErr w:type="spellEnd"/>
      <w:r>
        <w:rPr>
          <w:rFonts w:ascii="Times New Roman" w:eastAsia="Times New Roman" w:hAnsi="Times New Roman" w:cs="Times New Roman"/>
        </w:rPr>
        <w:t>–PCR</w:t>
      </w:r>
      <w:r w:rsidRPr="797184D5">
        <w:rPr>
          <w:rFonts w:ascii="Times New Roman" w:eastAsia="Times New Roman" w:hAnsi="Times New Roman" w:cs="Times New Roman"/>
        </w:rPr>
        <w:t xml:space="preserve"> analyses to evaluate the expression levels of </w:t>
      </w:r>
      <w:r w:rsidRPr="797184D5">
        <w:rPr>
          <w:rFonts w:ascii="Times New Roman" w:eastAsia="Times New Roman" w:hAnsi="Times New Roman" w:cs="Times New Roman"/>
          <w:i/>
          <w:iCs/>
        </w:rPr>
        <w:t>Gpr137b</w:t>
      </w:r>
      <w:r w:rsidRPr="797184D5">
        <w:rPr>
          <w:rFonts w:ascii="Times New Roman" w:eastAsia="Times New Roman" w:hAnsi="Times New Roman" w:cs="Times New Roman"/>
        </w:rPr>
        <w:t xml:space="preserve"> and representative osteoclast marker genes (</w:t>
      </w:r>
      <w:r w:rsidRPr="797184D5">
        <w:rPr>
          <w:rFonts w:ascii="Times New Roman" w:eastAsia="Times New Roman" w:hAnsi="Times New Roman" w:cs="Times New Roman"/>
          <w:i/>
          <w:iCs/>
        </w:rPr>
        <w:t>Acp5</w:t>
      </w:r>
      <w:r w:rsidRPr="797184D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797184D5">
        <w:rPr>
          <w:rFonts w:ascii="Times New Roman" w:eastAsia="Times New Roman" w:hAnsi="Times New Roman" w:cs="Times New Roman"/>
          <w:i/>
          <w:iCs/>
        </w:rPr>
        <w:t>Ctsk</w:t>
      </w:r>
      <w:proofErr w:type="spellEnd"/>
      <w:r w:rsidRPr="797184D5">
        <w:rPr>
          <w:rFonts w:ascii="Times New Roman" w:eastAsia="Times New Roman" w:hAnsi="Times New Roman" w:cs="Times New Roman"/>
        </w:rPr>
        <w:t xml:space="preserve">, and </w:t>
      </w:r>
      <w:r w:rsidRPr="797184D5">
        <w:rPr>
          <w:rFonts w:ascii="Times New Roman" w:eastAsia="Times New Roman" w:hAnsi="Times New Roman" w:cs="Times New Roman"/>
          <w:i/>
          <w:iCs/>
        </w:rPr>
        <w:t>Ctr)</w:t>
      </w:r>
      <w:r w:rsidRPr="797184D5">
        <w:rPr>
          <w:rFonts w:ascii="Times New Roman" w:eastAsia="Times New Roman" w:hAnsi="Times New Roman" w:cs="Times New Roman"/>
        </w:rPr>
        <w:t xml:space="preserve"> in </w:t>
      </w:r>
      <w:r w:rsidRPr="797184D5">
        <w:rPr>
          <w:rFonts w:ascii="Times New Roman" w:eastAsia="Times New Roman" w:hAnsi="Times New Roman" w:cs="Times New Roman"/>
          <w:i/>
          <w:iCs/>
        </w:rPr>
        <w:t>Gpr137b</w:t>
      </w:r>
      <w:r w:rsidRPr="797184D5">
        <w:rPr>
          <w:rFonts w:ascii="Times New Roman" w:eastAsia="Times New Roman" w:hAnsi="Times New Roman" w:cs="Times New Roman"/>
        </w:rPr>
        <w:t>-overexpresing (OE) and control (CN) RAW264 cells treated with or without RANKL.</w:t>
      </w:r>
    </w:p>
    <w:p w14:paraId="5BD1E727" w14:textId="77777777" w:rsidR="007A07B0" w:rsidRPr="00B87D9D" w:rsidRDefault="007A07B0" w:rsidP="007A07B0">
      <w:pPr>
        <w:snapToGrid w:val="0"/>
        <w:spacing w:after="0" w:line="480" w:lineRule="auto"/>
        <w:rPr>
          <w:rFonts w:ascii="Times New Roman" w:eastAsia="Times New Roman" w:hAnsi="Times New Roman" w:cs="Times New Roman"/>
        </w:rPr>
      </w:pPr>
    </w:p>
    <w:p w14:paraId="1E9DA2EE" w14:textId="77777777" w:rsidR="007A07B0" w:rsidRPr="004262D9" w:rsidRDefault="007A07B0" w:rsidP="007A07B0">
      <w:pPr>
        <w:snapToGrid w:val="0"/>
        <w:spacing w:after="0" w:line="480" w:lineRule="auto"/>
        <w:rPr>
          <w:rFonts w:ascii="Times New Roman" w:eastAsia="Times New Roman" w:hAnsi="Times New Roman" w:cs="Times New Roman"/>
        </w:rPr>
      </w:pPr>
      <w:r w:rsidRPr="797184D5">
        <w:rPr>
          <w:rFonts w:ascii="Times New Roman" w:eastAsia="Times New Roman" w:hAnsi="Times New Roman" w:cs="Times New Roman"/>
          <w:b/>
          <w:bCs/>
        </w:rPr>
        <w:t>Supplementary Figure S</w:t>
      </w:r>
      <w:r>
        <w:rPr>
          <w:rFonts w:ascii="Times New Roman" w:hAnsi="Times New Roman" w:cs="Times New Roman" w:hint="eastAsia"/>
          <w:b/>
          <w:bCs/>
        </w:rPr>
        <w:t>11</w:t>
      </w:r>
      <w:r w:rsidRPr="797184D5">
        <w:rPr>
          <w:rFonts w:ascii="Times New Roman" w:eastAsia="Times New Roman" w:hAnsi="Times New Roman" w:cs="Times New Roman"/>
          <w:b/>
          <w:bCs/>
        </w:rPr>
        <w:t>. Heatmaps visualizing the expression of Gpr137b homologues in single-cell clusters on UMAP.</w:t>
      </w:r>
      <w:r w:rsidRPr="797184D5">
        <w:rPr>
          <w:rFonts w:ascii="Times New Roman" w:eastAsia="Times New Roman" w:hAnsi="Times New Roman" w:cs="Times New Roman"/>
        </w:rPr>
        <w:t xml:space="preserve"> Heatmaps visualizing </w:t>
      </w:r>
      <w:r w:rsidRPr="797184D5">
        <w:rPr>
          <w:rFonts w:ascii="Times New Roman" w:eastAsia="Times New Roman" w:hAnsi="Times New Roman" w:cs="Times New Roman"/>
          <w:i/>
          <w:iCs/>
        </w:rPr>
        <w:t>Gpr137b</w:t>
      </w:r>
      <w:r w:rsidRPr="797184D5">
        <w:rPr>
          <w:rFonts w:ascii="Times New Roman" w:eastAsia="Times New Roman" w:hAnsi="Times New Roman" w:cs="Times New Roman"/>
        </w:rPr>
        <w:t xml:space="preserve">, </w:t>
      </w:r>
      <w:r w:rsidRPr="797184D5">
        <w:rPr>
          <w:rFonts w:ascii="Times New Roman" w:eastAsia="Times New Roman" w:hAnsi="Times New Roman" w:cs="Times New Roman"/>
          <w:i/>
          <w:iCs/>
        </w:rPr>
        <w:t>Gpr137</w:t>
      </w:r>
      <w:r w:rsidRPr="797184D5">
        <w:rPr>
          <w:rFonts w:ascii="Times New Roman" w:eastAsia="Times New Roman" w:hAnsi="Times New Roman" w:cs="Times New Roman"/>
        </w:rPr>
        <w:t xml:space="preserve"> and </w:t>
      </w:r>
      <w:r w:rsidRPr="797184D5">
        <w:rPr>
          <w:rFonts w:ascii="Times New Roman" w:eastAsia="Times New Roman" w:hAnsi="Times New Roman" w:cs="Times New Roman"/>
          <w:i/>
          <w:iCs/>
        </w:rPr>
        <w:t>Gpr137c</w:t>
      </w:r>
      <w:r w:rsidRPr="797184D5">
        <w:rPr>
          <w:rFonts w:ascii="Times New Roman" w:eastAsia="Times New Roman" w:hAnsi="Times New Roman" w:cs="Times New Roman"/>
        </w:rPr>
        <w:t xml:space="preserve"> mRNA expression in clusters of human bone marrow-derived cell types (</w:t>
      </w:r>
      <w:r>
        <w:rPr>
          <w:rFonts w:ascii="Times New Roman" w:hAnsi="Times New Roman" w:cs="Times New Roman" w:hint="eastAsia"/>
        </w:rPr>
        <w:t>a</w:t>
      </w:r>
      <w:r w:rsidRPr="797184D5">
        <w:rPr>
          <w:rFonts w:ascii="Times New Roman" w:eastAsia="Times New Roman" w:hAnsi="Times New Roman" w:cs="Times New Roman"/>
        </w:rPr>
        <w:t>) and mouse white blood cell-derived cell types (</w:t>
      </w:r>
      <w:r>
        <w:rPr>
          <w:rFonts w:ascii="Times New Roman" w:hAnsi="Times New Roman" w:cs="Times New Roman" w:hint="eastAsia"/>
        </w:rPr>
        <w:t>b</w:t>
      </w:r>
      <w:r w:rsidRPr="797184D5">
        <w:rPr>
          <w:rFonts w:ascii="Times New Roman" w:eastAsia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,</w:t>
      </w:r>
      <w:r w:rsidRPr="797184D5">
        <w:rPr>
          <w:rFonts w:ascii="Times New Roman" w:eastAsia="Times New Roman" w:hAnsi="Times New Roman" w:cs="Times New Roman"/>
        </w:rPr>
        <w:t xml:space="preserve"> including osteoclast</w:t>
      </w:r>
      <w:r>
        <w:rPr>
          <w:rFonts w:ascii="Times New Roman" w:hAnsi="Times New Roman" w:cs="Times New Roman" w:hint="eastAsia"/>
        </w:rPr>
        <w:t>s</w:t>
      </w:r>
      <w:r w:rsidRPr="797184D5">
        <w:rPr>
          <w:rFonts w:ascii="Times New Roman" w:eastAsia="Times New Roman" w:hAnsi="Times New Roman" w:cs="Times New Roman"/>
        </w:rPr>
        <w:t xml:space="preserve">, based on the CZ </w:t>
      </w:r>
      <w:proofErr w:type="spellStart"/>
      <w:r w:rsidRPr="797184D5">
        <w:rPr>
          <w:rFonts w:ascii="Times New Roman" w:eastAsia="Times New Roman" w:hAnsi="Times New Roman" w:cs="Times New Roman"/>
        </w:rPr>
        <w:t>CELLxGENE</w:t>
      </w:r>
      <w:proofErr w:type="spellEnd"/>
      <w:r w:rsidRPr="797184D5">
        <w:rPr>
          <w:rFonts w:ascii="Times New Roman" w:eastAsia="Times New Roman" w:hAnsi="Times New Roman" w:cs="Times New Roman"/>
        </w:rPr>
        <w:t xml:space="preserve"> single-cell analysis dataset. (</w:t>
      </w:r>
      <w:r>
        <w:rPr>
          <w:rFonts w:ascii="Times New Roman" w:hAnsi="Times New Roman" w:cs="Times New Roman" w:hint="eastAsia"/>
        </w:rPr>
        <w:t>c</w:t>
      </w:r>
      <w:r w:rsidRPr="797184D5">
        <w:rPr>
          <w:rFonts w:ascii="Times New Roman" w:eastAsia="Times New Roman" w:hAnsi="Times New Roman" w:cs="Times New Roman"/>
        </w:rPr>
        <w:t xml:space="preserve">) Heatmaps </w:t>
      </w:r>
      <w:r w:rsidRPr="797184D5">
        <w:rPr>
          <w:rFonts w:ascii="Times New Roman" w:eastAsia="Times New Roman" w:hAnsi="Times New Roman" w:cs="Times New Roman"/>
        </w:rPr>
        <w:lastRenderedPageBreak/>
        <w:t xml:space="preserve">visualizing </w:t>
      </w:r>
      <w:r w:rsidRPr="797184D5">
        <w:rPr>
          <w:rFonts w:ascii="Times New Roman" w:eastAsia="Times New Roman" w:hAnsi="Times New Roman" w:cs="Times New Roman"/>
          <w:i/>
          <w:iCs/>
        </w:rPr>
        <w:t>Gpr137</w:t>
      </w:r>
      <w:r w:rsidRPr="797184D5">
        <w:rPr>
          <w:rFonts w:ascii="Times New Roman" w:eastAsia="Times New Roman" w:hAnsi="Times New Roman" w:cs="Times New Roman"/>
        </w:rPr>
        <w:t xml:space="preserve"> and </w:t>
      </w:r>
      <w:r w:rsidRPr="797184D5">
        <w:rPr>
          <w:rFonts w:ascii="Times New Roman" w:eastAsia="Times New Roman" w:hAnsi="Times New Roman" w:cs="Times New Roman"/>
          <w:i/>
          <w:iCs/>
        </w:rPr>
        <w:t xml:space="preserve">Gpr137c </w:t>
      </w:r>
      <w:r w:rsidRPr="797184D5">
        <w:rPr>
          <w:rFonts w:ascii="Times New Roman" w:eastAsia="Times New Roman" w:hAnsi="Times New Roman" w:cs="Times New Roman"/>
        </w:rPr>
        <w:t>mRNA expression in the cell</w:t>
      </w:r>
      <w:r>
        <w:rPr>
          <w:rFonts w:ascii="Times New Roman" w:hAnsi="Times New Roman" w:cs="Times New Roman" w:hint="eastAsia"/>
        </w:rPr>
        <w:t>-</w:t>
      </w:r>
      <w:r w:rsidRPr="797184D5">
        <w:rPr>
          <w:rFonts w:ascii="Times New Roman" w:eastAsia="Times New Roman" w:hAnsi="Times New Roman" w:cs="Times New Roman"/>
        </w:rPr>
        <w:t>type clusters of mouse bone marrow-derived cells, including osteoclast</w:t>
      </w:r>
      <w:r>
        <w:rPr>
          <w:rFonts w:ascii="Times New Roman" w:hAnsi="Times New Roman" w:cs="Times New Roman" w:hint="eastAsia"/>
        </w:rPr>
        <w:t>s</w:t>
      </w:r>
      <w:r w:rsidRPr="797184D5">
        <w:rPr>
          <w:rFonts w:ascii="Times New Roman" w:eastAsia="Times New Roman" w:hAnsi="Times New Roman" w:cs="Times New Roman"/>
        </w:rPr>
        <w:t xml:space="preserve">, from </w:t>
      </w:r>
      <w:r w:rsidRPr="0073678D">
        <w:rPr>
          <w:rFonts w:ascii="Times New Roman" w:eastAsia="Times New Roman" w:hAnsi="Times New Roman" w:cs="Times New Roman"/>
          <w:i/>
          <w:iCs/>
        </w:rPr>
        <w:t>Gpr137b</w:t>
      </w:r>
      <w:r w:rsidRPr="797184D5">
        <w:rPr>
          <w:rFonts w:ascii="Times New Roman" w:eastAsia="Times New Roman" w:hAnsi="Times New Roman" w:cs="Times New Roman"/>
        </w:rPr>
        <w:t>-</w:t>
      </w:r>
      <w:r>
        <w:rPr>
          <w:rFonts w:ascii="Times New Roman" w:hAnsi="Times New Roman" w:cs="Times New Roman" w:hint="eastAsia"/>
        </w:rPr>
        <w:t xml:space="preserve">KO and </w:t>
      </w:r>
      <w:r w:rsidRPr="797184D5">
        <w:rPr>
          <w:rFonts w:ascii="Times New Roman" w:eastAsia="Times New Roman" w:hAnsi="Times New Roman" w:cs="Times New Roman"/>
        </w:rPr>
        <w:t>WT mice.</w:t>
      </w:r>
    </w:p>
    <w:p w14:paraId="0C9D48CC" w14:textId="77777777" w:rsidR="008B07A6" w:rsidRDefault="008B07A6"/>
    <w:p w14:paraId="1A21E7D1" w14:textId="77777777" w:rsidR="00824173" w:rsidRPr="004262D9" w:rsidRDefault="00824173" w:rsidP="00824173">
      <w:pPr>
        <w:snapToGrid w:val="0"/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  <w:r w:rsidRPr="797184D5">
        <w:rPr>
          <w:rFonts w:ascii="Times New Roman" w:eastAsia="Times New Roman" w:hAnsi="Times New Roman" w:cs="Times New Roman"/>
          <w:b/>
          <w:bCs/>
        </w:rPr>
        <w:t>Supplementary Table Headers</w:t>
      </w:r>
    </w:p>
    <w:p w14:paraId="21C704DC" w14:textId="77777777" w:rsidR="00824173" w:rsidRPr="004262D9" w:rsidRDefault="00824173" w:rsidP="00824173">
      <w:pPr>
        <w:snapToGrid w:val="0"/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</w:p>
    <w:p w14:paraId="6B122DC8" w14:textId="77777777" w:rsidR="00824173" w:rsidRPr="004262D9" w:rsidRDefault="00824173" w:rsidP="00824173">
      <w:pPr>
        <w:snapToGrid w:val="0"/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  <w:r w:rsidRPr="797184D5">
        <w:rPr>
          <w:rFonts w:ascii="Times New Roman" w:eastAsia="Times New Roman" w:hAnsi="Times New Roman" w:cs="Times New Roman"/>
          <w:b/>
          <w:bCs/>
        </w:rPr>
        <w:t>Supplementary Table S1. Differentially expressed genes in RAW264-derived osteoclasts versus undifferentiated controls</w:t>
      </w:r>
    </w:p>
    <w:p w14:paraId="337344E6" w14:textId="77777777" w:rsidR="00824173" w:rsidRPr="004262D9" w:rsidRDefault="00824173" w:rsidP="00824173">
      <w:pPr>
        <w:snapToGrid w:val="0"/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</w:p>
    <w:p w14:paraId="6826ED1D" w14:textId="77777777" w:rsidR="00824173" w:rsidRPr="004262D9" w:rsidRDefault="00824173" w:rsidP="00824173">
      <w:pPr>
        <w:snapToGrid w:val="0"/>
        <w:spacing w:after="0" w:line="480" w:lineRule="auto"/>
        <w:rPr>
          <w:rFonts w:ascii="Times New Roman" w:eastAsia="Times New Roman" w:hAnsi="Times New Roman" w:cs="Times New Roman"/>
          <w:b/>
          <w:bCs/>
          <w:szCs w:val="22"/>
        </w:rPr>
      </w:pPr>
      <w:r w:rsidRPr="797184D5">
        <w:rPr>
          <w:rFonts w:ascii="Times New Roman" w:eastAsia="Times New Roman" w:hAnsi="Times New Roman" w:cs="Times New Roman"/>
          <w:b/>
          <w:bCs/>
        </w:rPr>
        <w:t xml:space="preserve">Supplementary </w:t>
      </w:r>
      <w:r w:rsidRPr="797184D5">
        <w:rPr>
          <w:rFonts w:ascii="Times New Roman" w:eastAsia="Times New Roman" w:hAnsi="Times New Roman" w:cs="Times New Roman"/>
          <w:b/>
          <w:bCs/>
          <w:color w:val="000000" w:themeColor="text1"/>
          <w:szCs w:val="22"/>
        </w:rPr>
        <w:t xml:space="preserve">Table S2. Genotype ratio of mice generated by crossing </w:t>
      </w:r>
      <w:r w:rsidRPr="797184D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Cs w:val="22"/>
        </w:rPr>
        <w:t>Gpr137b</w:t>
      </w:r>
      <w:r w:rsidRPr="797184D5">
        <w:rPr>
          <w:rFonts w:ascii="Times New Roman" w:eastAsia="Times New Roman" w:hAnsi="Times New Roman" w:cs="Times New Roman"/>
          <w:b/>
          <w:bCs/>
          <w:color w:val="000000" w:themeColor="text1"/>
          <w:szCs w:val="22"/>
        </w:rPr>
        <w:t>-heterozygous mice</w:t>
      </w:r>
    </w:p>
    <w:p w14:paraId="38636F44" w14:textId="77777777" w:rsidR="00824173" w:rsidRPr="004262D9" w:rsidRDefault="00824173" w:rsidP="00824173">
      <w:pPr>
        <w:snapToGrid w:val="0"/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</w:p>
    <w:p w14:paraId="59B05599" w14:textId="77777777" w:rsidR="00824173" w:rsidRPr="004262D9" w:rsidRDefault="00824173" w:rsidP="00824173">
      <w:pPr>
        <w:snapToGrid w:val="0"/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  <w:r w:rsidRPr="797184D5">
        <w:rPr>
          <w:rFonts w:ascii="Times New Roman" w:eastAsia="Times New Roman" w:hAnsi="Times New Roman" w:cs="Times New Roman"/>
          <w:b/>
          <w:bCs/>
        </w:rPr>
        <w:t xml:space="preserve">Supplementary Table S3. Differentially expressed genes in RANKL-stimulated bone marrow cells from </w:t>
      </w:r>
      <w:r w:rsidRPr="797184D5">
        <w:rPr>
          <w:rFonts w:ascii="Times New Roman" w:eastAsia="Times New Roman" w:hAnsi="Times New Roman" w:cs="Times New Roman"/>
          <w:b/>
          <w:bCs/>
          <w:i/>
          <w:iCs/>
        </w:rPr>
        <w:t>Gpr137b</w:t>
      </w:r>
      <w:r w:rsidRPr="797184D5">
        <w:rPr>
          <w:rFonts w:ascii="Times New Roman" w:eastAsia="Times New Roman" w:hAnsi="Times New Roman" w:cs="Times New Roman"/>
          <w:b/>
          <w:bCs/>
        </w:rPr>
        <w:t>-knockout versus wild-type mice</w:t>
      </w:r>
    </w:p>
    <w:p w14:paraId="5CD0BCE0" w14:textId="77777777" w:rsidR="00824173" w:rsidRPr="004262D9" w:rsidRDefault="00824173" w:rsidP="00824173">
      <w:pPr>
        <w:snapToGrid w:val="0"/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</w:p>
    <w:p w14:paraId="4EEAC59A" w14:textId="77777777" w:rsidR="00824173" w:rsidRPr="004262D9" w:rsidRDefault="00824173" w:rsidP="00824173">
      <w:pPr>
        <w:snapToGrid w:val="0"/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  <w:r w:rsidRPr="797184D5">
        <w:rPr>
          <w:rFonts w:ascii="Times New Roman" w:eastAsia="Times New Roman" w:hAnsi="Times New Roman" w:cs="Times New Roman"/>
          <w:b/>
          <w:bCs/>
        </w:rPr>
        <w:t xml:space="preserve">Supplementary Table S4. Pathway analysis of differentially expressed genes in RANKL-stimulated bone marrow cells from </w:t>
      </w:r>
      <w:r w:rsidRPr="797184D5">
        <w:rPr>
          <w:rFonts w:ascii="Times New Roman" w:eastAsia="Times New Roman" w:hAnsi="Times New Roman" w:cs="Times New Roman"/>
          <w:b/>
          <w:bCs/>
          <w:i/>
          <w:iCs/>
        </w:rPr>
        <w:t>Gpr137b</w:t>
      </w:r>
      <w:r w:rsidRPr="797184D5">
        <w:rPr>
          <w:rFonts w:ascii="Times New Roman" w:eastAsia="Times New Roman" w:hAnsi="Times New Roman" w:cs="Times New Roman"/>
          <w:b/>
          <w:bCs/>
        </w:rPr>
        <w:t>-</w:t>
      </w:r>
      <w:r>
        <w:rPr>
          <w:rFonts w:ascii="Times New Roman" w:hAnsi="Times New Roman" w:cs="Times New Roman" w:hint="eastAsia"/>
          <w:b/>
          <w:bCs/>
        </w:rPr>
        <w:t>konockout</w:t>
      </w:r>
      <w:r w:rsidRPr="797184D5">
        <w:rPr>
          <w:rFonts w:ascii="Times New Roman" w:eastAsia="Times New Roman" w:hAnsi="Times New Roman" w:cs="Times New Roman"/>
          <w:b/>
          <w:bCs/>
        </w:rPr>
        <w:t xml:space="preserve"> versus wild-type mice</w:t>
      </w:r>
    </w:p>
    <w:p w14:paraId="1FAB71D3" w14:textId="77777777" w:rsidR="00824173" w:rsidRPr="004262D9" w:rsidRDefault="00824173" w:rsidP="00824173">
      <w:pPr>
        <w:snapToGrid w:val="0"/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</w:p>
    <w:p w14:paraId="0F3A6D11" w14:textId="77777777" w:rsidR="00824173" w:rsidRPr="004262D9" w:rsidRDefault="00824173" w:rsidP="00824173">
      <w:pPr>
        <w:snapToGrid w:val="0"/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  <w:r w:rsidRPr="797184D5">
        <w:rPr>
          <w:rFonts w:ascii="Times New Roman" w:eastAsia="Times New Roman" w:hAnsi="Times New Roman" w:cs="Times New Roman"/>
          <w:b/>
          <w:bCs/>
        </w:rPr>
        <w:t>Supplementary Table S5. Cluster-specific marker genes identified via single-cell RNA sequencing of RANKL-stimulated bone marrow-derived cells</w:t>
      </w:r>
    </w:p>
    <w:p w14:paraId="4F76EE9B" w14:textId="77777777" w:rsidR="00824173" w:rsidRPr="004262D9" w:rsidRDefault="00824173" w:rsidP="00824173">
      <w:pPr>
        <w:snapToGrid w:val="0"/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</w:p>
    <w:p w14:paraId="20AC8A73" w14:textId="77777777" w:rsidR="00824173" w:rsidRPr="004262D9" w:rsidRDefault="00824173" w:rsidP="00824173">
      <w:pPr>
        <w:snapToGrid w:val="0"/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  <w:r w:rsidRPr="797184D5">
        <w:rPr>
          <w:rFonts w:ascii="Times New Roman" w:eastAsia="Times New Roman" w:hAnsi="Times New Roman" w:cs="Times New Roman"/>
          <w:b/>
          <w:bCs/>
        </w:rPr>
        <w:t xml:space="preserve">Supplementary Table S6. Human GPR137B mutations and their clinical associations based on </w:t>
      </w:r>
      <w:proofErr w:type="spellStart"/>
      <w:r w:rsidRPr="797184D5">
        <w:rPr>
          <w:rFonts w:ascii="Times New Roman" w:eastAsia="Times New Roman" w:hAnsi="Times New Roman" w:cs="Times New Roman"/>
          <w:b/>
          <w:bCs/>
        </w:rPr>
        <w:t>ClinVar</w:t>
      </w:r>
      <w:proofErr w:type="spellEnd"/>
      <w:r w:rsidRPr="797184D5">
        <w:rPr>
          <w:rFonts w:ascii="Times New Roman" w:eastAsia="Times New Roman" w:hAnsi="Times New Roman" w:cs="Times New Roman"/>
          <w:b/>
          <w:bCs/>
        </w:rPr>
        <w:t xml:space="preserve"> datasets </w:t>
      </w:r>
    </w:p>
    <w:p w14:paraId="164824F6" w14:textId="77777777" w:rsidR="00824173" w:rsidRPr="004262D9" w:rsidRDefault="00824173" w:rsidP="00824173">
      <w:pPr>
        <w:snapToGrid w:val="0"/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</w:p>
    <w:p w14:paraId="68BEBA45" w14:textId="77777777" w:rsidR="00824173" w:rsidRPr="004262D9" w:rsidRDefault="00824173" w:rsidP="00824173">
      <w:pPr>
        <w:snapToGrid w:val="0"/>
        <w:spacing w:after="0" w:line="480" w:lineRule="auto"/>
        <w:rPr>
          <w:rFonts w:ascii="Times New Roman" w:eastAsia="Times New Roman" w:hAnsi="Times New Roman" w:cs="Times New Roman"/>
          <w:szCs w:val="22"/>
        </w:rPr>
      </w:pPr>
      <w:r w:rsidRPr="797184D5">
        <w:rPr>
          <w:rFonts w:ascii="Times New Roman" w:eastAsia="Times New Roman" w:hAnsi="Times New Roman" w:cs="Times New Roman"/>
          <w:b/>
          <w:bCs/>
        </w:rPr>
        <w:t>Supplementary Table S7.</w:t>
      </w:r>
      <w:r w:rsidRPr="797184D5">
        <w:rPr>
          <w:rFonts w:ascii="Times New Roman" w:eastAsia="Times New Roman" w:hAnsi="Times New Roman" w:cs="Times New Roman"/>
          <w:b/>
          <w:bCs/>
          <w:color w:val="000000" w:themeColor="text1"/>
          <w:szCs w:val="22"/>
        </w:rPr>
        <w:t xml:space="preserve"> Primers used in this study</w:t>
      </w:r>
    </w:p>
    <w:p w14:paraId="47A4D8E7" w14:textId="77777777" w:rsidR="00824173" w:rsidRDefault="00824173"/>
    <w:sectPr w:rsidR="008241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B0"/>
    <w:rsid w:val="00066677"/>
    <w:rsid w:val="00354A6D"/>
    <w:rsid w:val="003A4E89"/>
    <w:rsid w:val="00556784"/>
    <w:rsid w:val="007A07B0"/>
    <w:rsid w:val="00824173"/>
    <w:rsid w:val="008B07A6"/>
    <w:rsid w:val="00987B63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DC507"/>
  <w15:chartTrackingRefBased/>
  <w15:docId w15:val="{8BC34A3F-CBF8-4BB4-BAEB-50AE69FC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7B0"/>
    <w:pPr>
      <w:widowControl w:val="0"/>
      <w:spacing w:line="259" w:lineRule="auto"/>
    </w:pPr>
    <w:rPr>
      <w:rFonts w:eastAsiaTheme="minorEastAsia"/>
      <w:sz w:val="22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07B0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07B0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07B0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07B0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07B0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07B0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07B0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07B0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07B0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07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07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07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7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07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7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07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07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07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07B0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7A07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07B0"/>
    <w:pPr>
      <w:widowControl/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A07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07B0"/>
    <w:pPr>
      <w:widowControl/>
      <w:spacing w:before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7A07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07B0"/>
    <w:pPr>
      <w:widowControl/>
      <w:spacing w:line="278" w:lineRule="auto"/>
      <w:ind w:left="720"/>
      <w:contextualSpacing/>
    </w:pPr>
    <w:rPr>
      <w:rFonts w:eastAsiaTheme="minorHAnsi"/>
      <w:sz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7A07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07B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07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07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655</Words>
  <Characters>3735</Characters>
  <Application>Microsoft Office Word</Application>
  <DocSecurity>0</DocSecurity>
  <Lines>31</Lines>
  <Paragraphs>8</Paragraphs>
  <ScaleCrop>false</ScaleCrop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2026-06-16T03:56:00Z</dcterms:created>
  <dcterms:modified xsi:type="dcterms:W3CDTF">2026-06-16T03:57:00Z</dcterms:modified>
</cp:coreProperties>
</file>