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CB0AF" w14:textId="77777777" w:rsidR="00692116" w:rsidRDefault="00000000">
      <w:pPr>
        <w:pStyle w:val="FirstParagraph"/>
      </w:pPr>
      <w:r>
        <w:rPr>
          <w:b/>
          <w:bCs/>
        </w:rPr>
        <w:t>Table S2. Sensitivity analysis: seven-marker hazard ratios before and after adjustment for comorbidity, cognition and function.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408"/>
        <w:gridCol w:w="2078"/>
        <w:gridCol w:w="2478"/>
        <w:gridCol w:w="1922"/>
      </w:tblGrid>
      <w:tr w:rsidR="00692116" w14:paraId="346E9EA6" w14:textId="77777777" w:rsidTr="0069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4F31386" w14:textId="77777777" w:rsidR="00692116" w:rsidRDefault="00000000">
            <w:pPr>
              <w:pStyle w:val="Compact"/>
            </w:pPr>
            <w:r>
              <w:t>Marker</w:t>
            </w:r>
          </w:p>
        </w:tc>
        <w:tc>
          <w:tcPr>
            <w:tcW w:w="0" w:type="auto"/>
          </w:tcPr>
          <w:p w14:paraId="1C40CF61" w14:textId="77777777" w:rsidR="00692116" w:rsidRDefault="00000000">
            <w:pPr>
              <w:pStyle w:val="Compact"/>
            </w:pPr>
            <w:r>
              <w:t>Main HR (95% CI)</w:t>
            </w:r>
          </w:p>
        </w:tc>
        <w:tc>
          <w:tcPr>
            <w:tcW w:w="0" w:type="auto"/>
          </w:tcPr>
          <w:p w14:paraId="7D606B97" w14:textId="77777777" w:rsidR="00692116" w:rsidRDefault="00000000">
            <w:pPr>
              <w:pStyle w:val="Compact"/>
            </w:pPr>
            <w:r>
              <w:t>Adjusted HR (95% CI)</w:t>
            </w:r>
          </w:p>
        </w:tc>
        <w:tc>
          <w:tcPr>
            <w:tcW w:w="0" w:type="auto"/>
          </w:tcPr>
          <w:p w14:paraId="770C7843" w14:textId="756BC668" w:rsidR="00692116" w:rsidRDefault="00000000">
            <w:pPr>
              <w:pStyle w:val="Compact"/>
            </w:pPr>
            <w:r>
              <w:t>Adjusted p</w:t>
            </w:r>
            <w:r w:rsidR="00E82098">
              <w:t xml:space="preserve"> value</w:t>
            </w:r>
          </w:p>
        </w:tc>
      </w:tr>
      <w:tr w:rsidR="00692116" w14:paraId="3E7BC3EC" w14:textId="77777777">
        <w:tc>
          <w:tcPr>
            <w:tcW w:w="0" w:type="auto"/>
          </w:tcPr>
          <w:p w14:paraId="12C906F9" w14:textId="77777777" w:rsidR="00692116" w:rsidRDefault="00000000">
            <w:pPr>
              <w:pStyle w:val="Compact"/>
            </w:pPr>
            <w:r>
              <w:t>NT-proBNP</w:t>
            </w:r>
          </w:p>
        </w:tc>
        <w:tc>
          <w:tcPr>
            <w:tcW w:w="0" w:type="auto"/>
          </w:tcPr>
          <w:p w14:paraId="451D2891" w14:textId="77777777" w:rsidR="00692116" w:rsidRDefault="00000000">
            <w:pPr>
              <w:pStyle w:val="Compact"/>
            </w:pPr>
            <w:r>
              <w:t>1.29 (1.18–1.41)</w:t>
            </w:r>
          </w:p>
        </w:tc>
        <w:tc>
          <w:tcPr>
            <w:tcW w:w="0" w:type="auto"/>
          </w:tcPr>
          <w:p w14:paraId="0AAA1FAA" w14:textId="77777777" w:rsidR="00692116" w:rsidRDefault="00000000">
            <w:pPr>
              <w:pStyle w:val="Compact"/>
            </w:pPr>
            <w:r>
              <w:t>1.24 (1.14–1.36)</w:t>
            </w:r>
          </w:p>
        </w:tc>
        <w:tc>
          <w:tcPr>
            <w:tcW w:w="0" w:type="auto"/>
          </w:tcPr>
          <w:p w14:paraId="3B8D8032" w14:textId="77777777" w:rsidR="00692116" w:rsidRDefault="00000000">
            <w:pPr>
              <w:pStyle w:val="Compact"/>
            </w:pPr>
            <w:r>
              <w:t>&lt;0.001</w:t>
            </w:r>
          </w:p>
        </w:tc>
      </w:tr>
      <w:tr w:rsidR="00692116" w14:paraId="6F439F14" w14:textId="77777777">
        <w:tc>
          <w:tcPr>
            <w:tcW w:w="0" w:type="auto"/>
          </w:tcPr>
          <w:p w14:paraId="2D1812B2" w14:textId="77777777" w:rsidR="00692116" w:rsidRDefault="00000000">
            <w:pPr>
              <w:pStyle w:val="Compact"/>
            </w:pPr>
            <w:r>
              <w:t>HbA1c</w:t>
            </w:r>
          </w:p>
        </w:tc>
        <w:tc>
          <w:tcPr>
            <w:tcW w:w="0" w:type="auto"/>
          </w:tcPr>
          <w:p w14:paraId="0F9207F7" w14:textId="77777777" w:rsidR="00692116" w:rsidRDefault="00000000">
            <w:pPr>
              <w:pStyle w:val="Compact"/>
            </w:pPr>
            <w:r>
              <w:t>1.25 (1.15–1.35)</w:t>
            </w:r>
          </w:p>
        </w:tc>
        <w:tc>
          <w:tcPr>
            <w:tcW w:w="0" w:type="auto"/>
          </w:tcPr>
          <w:p w14:paraId="70484547" w14:textId="77777777" w:rsidR="00692116" w:rsidRDefault="00000000">
            <w:pPr>
              <w:pStyle w:val="Compact"/>
            </w:pPr>
            <w:r>
              <w:t>1.22 (1.12–1.33)</w:t>
            </w:r>
          </w:p>
        </w:tc>
        <w:tc>
          <w:tcPr>
            <w:tcW w:w="0" w:type="auto"/>
          </w:tcPr>
          <w:p w14:paraId="1F9697A0" w14:textId="77777777" w:rsidR="00692116" w:rsidRDefault="00000000">
            <w:pPr>
              <w:pStyle w:val="Compact"/>
            </w:pPr>
            <w:r>
              <w:t>&lt;0.001</w:t>
            </w:r>
          </w:p>
        </w:tc>
      </w:tr>
      <w:tr w:rsidR="00692116" w14:paraId="484D8BFD" w14:textId="77777777">
        <w:tc>
          <w:tcPr>
            <w:tcW w:w="0" w:type="auto"/>
          </w:tcPr>
          <w:p w14:paraId="103AA6D3" w14:textId="77777777" w:rsidR="00692116" w:rsidRDefault="00000000">
            <w:pPr>
              <w:pStyle w:val="Compact"/>
            </w:pPr>
            <w:r>
              <w:t>Albumin</w:t>
            </w:r>
          </w:p>
        </w:tc>
        <w:tc>
          <w:tcPr>
            <w:tcW w:w="0" w:type="auto"/>
          </w:tcPr>
          <w:p w14:paraId="351E9723" w14:textId="77777777" w:rsidR="00692116" w:rsidRDefault="00000000">
            <w:pPr>
              <w:pStyle w:val="Compact"/>
            </w:pPr>
            <w:r>
              <w:t>0.81 (0.75–0.88)</w:t>
            </w:r>
          </w:p>
        </w:tc>
        <w:tc>
          <w:tcPr>
            <w:tcW w:w="0" w:type="auto"/>
          </w:tcPr>
          <w:p w14:paraId="7198F32D" w14:textId="77777777" w:rsidR="00692116" w:rsidRDefault="00000000">
            <w:pPr>
              <w:pStyle w:val="Compact"/>
            </w:pPr>
            <w:r>
              <w:t>0.84 (0.78–0.91)</w:t>
            </w:r>
          </w:p>
        </w:tc>
        <w:tc>
          <w:tcPr>
            <w:tcW w:w="0" w:type="auto"/>
          </w:tcPr>
          <w:p w14:paraId="13B600E8" w14:textId="77777777" w:rsidR="00692116" w:rsidRDefault="00000000">
            <w:pPr>
              <w:pStyle w:val="Compact"/>
            </w:pPr>
            <w:r>
              <w:t>&lt;0.001</w:t>
            </w:r>
          </w:p>
        </w:tc>
      </w:tr>
      <w:tr w:rsidR="00692116" w14:paraId="34BCDC59" w14:textId="77777777">
        <w:tc>
          <w:tcPr>
            <w:tcW w:w="0" w:type="auto"/>
          </w:tcPr>
          <w:p w14:paraId="62003C3B" w14:textId="77777777" w:rsidR="00692116" w:rsidRDefault="00000000">
            <w:pPr>
              <w:pStyle w:val="Compact"/>
            </w:pPr>
            <w:r>
              <w:t>Cystatin C</w:t>
            </w:r>
          </w:p>
        </w:tc>
        <w:tc>
          <w:tcPr>
            <w:tcW w:w="0" w:type="auto"/>
          </w:tcPr>
          <w:p w14:paraId="3E137CAC" w14:textId="77777777" w:rsidR="00692116" w:rsidRDefault="00000000">
            <w:pPr>
              <w:pStyle w:val="Compact"/>
            </w:pPr>
            <w:r>
              <w:t>1.18 (1.07–1.31)</w:t>
            </w:r>
          </w:p>
        </w:tc>
        <w:tc>
          <w:tcPr>
            <w:tcW w:w="0" w:type="auto"/>
          </w:tcPr>
          <w:p w14:paraId="0CA2B924" w14:textId="77777777" w:rsidR="00692116" w:rsidRDefault="00000000">
            <w:pPr>
              <w:pStyle w:val="Compact"/>
            </w:pPr>
            <w:r>
              <w:t>1.20 (1.08–1.33)</w:t>
            </w:r>
          </w:p>
        </w:tc>
        <w:tc>
          <w:tcPr>
            <w:tcW w:w="0" w:type="auto"/>
          </w:tcPr>
          <w:p w14:paraId="59A547B5" w14:textId="77777777" w:rsidR="00692116" w:rsidRDefault="00000000">
            <w:pPr>
              <w:pStyle w:val="Compact"/>
            </w:pPr>
            <w:r>
              <w:t>0.001</w:t>
            </w:r>
          </w:p>
        </w:tc>
      </w:tr>
      <w:tr w:rsidR="00692116" w14:paraId="2E6E6F11" w14:textId="77777777">
        <w:tc>
          <w:tcPr>
            <w:tcW w:w="0" w:type="auto"/>
          </w:tcPr>
          <w:p w14:paraId="4C5E03E5" w14:textId="77777777" w:rsidR="00692116" w:rsidRDefault="00000000">
            <w:pPr>
              <w:pStyle w:val="Compact"/>
            </w:pPr>
            <w:r>
              <w:t>ALT</w:t>
            </w:r>
          </w:p>
        </w:tc>
        <w:tc>
          <w:tcPr>
            <w:tcW w:w="0" w:type="auto"/>
          </w:tcPr>
          <w:p w14:paraId="4DC83F8F" w14:textId="77777777" w:rsidR="00692116" w:rsidRDefault="00000000">
            <w:pPr>
              <w:pStyle w:val="Compact"/>
            </w:pPr>
            <w:r>
              <w:t>0.87 (0.79–0.96)</w:t>
            </w:r>
          </w:p>
        </w:tc>
        <w:tc>
          <w:tcPr>
            <w:tcW w:w="0" w:type="auto"/>
          </w:tcPr>
          <w:p w14:paraId="163B22D9" w14:textId="77777777" w:rsidR="00692116" w:rsidRDefault="00000000">
            <w:pPr>
              <w:pStyle w:val="Compact"/>
            </w:pPr>
            <w:r>
              <w:t>0.88 (0.80–0.96)</w:t>
            </w:r>
          </w:p>
        </w:tc>
        <w:tc>
          <w:tcPr>
            <w:tcW w:w="0" w:type="auto"/>
          </w:tcPr>
          <w:p w14:paraId="75B4A6C3" w14:textId="77777777" w:rsidR="00692116" w:rsidRDefault="00000000">
            <w:pPr>
              <w:pStyle w:val="Compact"/>
            </w:pPr>
            <w:r>
              <w:t>0.007</w:t>
            </w:r>
          </w:p>
        </w:tc>
      </w:tr>
      <w:tr w:rsidR="00692116" w14:paraId="20224380" w14:textId="77777777">
        <w:tc>
          <w:tcPr>
            <w:tcW w:w="0" w:type="auto"/>
          </w:tcPr>
          <w:p w14:paraId="5DA7AC20" w14:textId="77777777" w:rsidR="00692116" w:rsidRDefault="00000000">
            <w:pPr>
              <w:pStyle w:val="Compact"/>
            </w:pPr>
            <w:r>
              <w:t>NLR</w:t>
            </w:r>
          </w:p>
        </w:tc>
        <w:tc>
          <w:tcPr>
            <w:tcW w:w="0" w:type="auto"/>
          </w:tcPr>
          <w:p w14:paraId="0483365F" w14:textId="77777777" w:rsidR="00692116" w:rsidRDefault="00000000">
            <w:pPr>
              <w:pStyle w:val="Compact"/>
            </w:pPr>
            <w:r>
              <w:t>1.12 (1.03–1.23)</w:t>
            </w:r>
          </w:p>
        </w:tc>
        <w:tc>
          <w:tcPr>
            <w:tcW w:w="0" w:type="auto"/>
          </w:tcPr>
          <w:p w14:paraId="38C99FD2" w14:textId="77777777" w:rsidR="00692116" w:rsidRDefault="00000000">
            <w:pPr>
              <w:pStyle w:val="Compact"/>
            </w:pPr>
            <w:r>
              <w:t>1.11 (1.01–1.21)</w:t>
            </w:r>
          </w:p>
        </w:tc>
        <w:tc>
          <w:tcPr>
            <w:tcW w:w="0" w:type="auto"/>
          </w:tcPr>
          <w:p w14:paraId="2A0515CE" w14:textId="77777777" w:rsidR="00692116" w:rsidRDefault="00000000">
            <w:pPr>
              <w:pStyle w:val="Compact"/>
            </w:pPr>
            <w:r>
              <w:t>0.027</w:t>
            </w:r>
          </w:p>
        </w:tc>
      </w:tr>
      <w:tr w:rsidR="00692116" w14:paraId="015CA9DD" w14:textId="77777777">
        <w:tc>
          <w:tcPr>
            <w:tcW w:w="0" w:type="auto"/>
          </w:tcPr>
          <w:p w14:paraId="5D8439CC" w14:textId="77777777" w:rsidR="00692116" w:rsidRDefault="00000000">
            <w:pPr>
              <w:pStyle w:val="Compact"/>
            </w:pPr>
            <w:r>
              <w:t>hs-CRP</w:t>
            </w:r>
          </w:p>
        </w:tc>
        <w:tc>
          <w:tcPr>
            <w:tcW w:w="0" w:type="auto"/>
          </w:tcPr>
          <w:p w14:paraId="34AA3F12" w14:textId="77777777" w:rsidR="00692116" w:rsidRDefault="00000000">
            <w:pPr>
              <w:pStyle w:val="Compact"/>
            </w:pPr>
            <w:r>
              <w:t>1.08 (0.99–1.18)</w:t>
            </w:r>
          </w:p>
        </w:tc>
        <w:tc>
          <w:tcPr>
            <w:tcW w:w="0" w:type="auto"/>
          </w:tcPr>
          <w:p w14:paraId="024267F7" w14:textId="77777777" w:rsidR="00692116" w:rsidRDefault="00000000">
            <w:pPr>
              <w:pStyle w:val="Compact"/>
            </w:pPr>
            <w:r>
              <w:t>1.10 (1.01–1.19)</w:t>
            </w:r>
          </w:p>
        </w:tc>
        <w:tc>
          <w:tcPr>
            <w:tcW w:w="0" w:type="auto"/>
          </w:tcPr>
          <w:p w14:paraId="489B1AB7" w14:textId="77777777" w:rsidR="00692116" w:rsidRDefault="00000000">
            <w:pPr>
              <w:pStyle w:val="Compact"/>
            </w:pPr>
            <w:r>
              <w:t>0.034</w:t>
            </w:r>
          </w:p>
        </w:tc>
      </w:tr>
    </w:tbl>
    <w:p w14:paraId="5AED436C" w14:textId="7A51AB4B" w:rsidR="00692116" w:rsidRDefault="00000000">
      <w:pPr>
        <w:pStyle w:val="BodyText"/>
      </w:pPr>
      <w:r>
        <w:t xml:space="preserve">Main HR is from the final mutually adjusted model (seven markers plus age and sex). Adjusted HR additionally controls for self-reported comorbidity count, baseline cognition (Hindi Mental State Examination) and physical function (basic and instrumental activities of daily living). Analytic sample n = 2133 with 530 deaths; HR per 1 standard deviation; P values two-sided. All seven associations retained significance and direction after adjustment. </w:t>
      </w:r>
      <w:r w:rsidR="00E82098" w:rsidRPr="00991A59">
        <w:t>Apparent Harrell's C on this sample: age+sex 0.670;</w:t>
      </w:r>
      <w:r w:rsidR="00E82098">
        <w:t xml:space="preserve"> </w:t>
      </w:r>
      <w:r w:rsidR="00E82098" w:rsidRPr="00991A59">
        <w:t xml:space="preserve">age+sex+comorbidity+cognition+function 0.699; age+sex+seven markers 0.739; all combined 0.748. </w:t>
      </w:r>
      <w:r>
        <w:t>Abbreviations: ALT, alanine aminotransferase; hs-CRP, high-sensitivity C-reactive protein; HbA1c, glycated haemoglobin; NLR, neutrophil–lymphocyte ratio; NT-proBNP, N-terminal pro-B-type natriuretic peptide.</w:t>
      </w:r>
    </w:p>
    <w:sectPr w:rsidR="00692116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31427" w14:textId="77777777" w:rsidR="001331C1" w:rsidRDefault="001331C1">
      <w:pPr>
        <w:spacing w:after="0"/>
      </w:pPr>
      <w:r>
        <w:separator/>
      </w:r>
    </w:p>
  </w:endnote>
  <w:endnote w:type="continuationSeparator" w:id="0">
    <w:p w14:paraId="785881EA" w14:textId="77777777" w:rsidR="001331C1" w:rsidRDefault="001331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245A8" w14:textId="77777777" w:rsidR="001331C1" w:rsidRDefault="001331C1">
      <w:r>
        <w:separator/>
      </w:r>
    </w:p>
  </w:footnote>
  <w:footnote w:type="continuationSeparator" w:id="0">
    <w:p w14:paraId="47C58B79" w14:textId="77777777" w:rsidR="001331C1" w:rsidRDefault="0013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3D3A6EE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4835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116"/>
    <w:rsid w:val="001331C1"/>
    <w:rsid w:val="00252950"/>
    <w:rsid w:val="00692116"/>
    <w:rsid w:val="00E8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037EC"/>
  <w15:docId w15:val="{656CE134-DB7A-6849-8036-365C828C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BHRIGU JAIN</cp:lastModifiedBy>
  <cp:revision>2</cp:revision>
  <dcterms:created xsi:type="dcterms:W3CDTF">2026-06-09T07:01:00Z</dcterms:created>
  <dcterms:modified xsi:type="dcterms:W3CDTF">2026-06-09T07:31:00Z</dcterms:modified>
</cp:coreProperties>
</file>