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24"/>
          <w:szCs w:val="24"/>
        </w:rPr>
        <w:t xml:space="preserve">STROBE Checklist — Observational Study Reporting</w:t>
      </w:r>
    </w:p>
    <w:p>
      <w:r>
        <w:rPr>
          <w:i/>
          <w:iCs/>
          <w:color w:val="333333"/>
          <w:sz w:val="18"/>
          <w:szCs w:val="18"/>
        </w:rPr>
        <w:t xml:space="preserve">Manuscript: Neutrophil-to-Lymphocyte Ratio and Mean Platelet Volume in Relation to Pressure Ulcer Stages in a Palliative Care Unit: A Retrospective Single-Center Study</w:t>
      </w:r>
    </w:p>
    <w:p>
      <w:r>
        <w:rPr>
          <w:i/>
          <w:iCs/>
          <w:color w:val="555555"/>
          <w:sz w:val="17"/>
          <w:szCs w:val="17"/>
        </w:rPr>
        <w:t xml:space="preserve">Authors: Bayram MG, Şeker DF  |  Journal: BMC Palliative Care  |  Reporting standard: STROBE Statement for observational studies</w:t>
      </w:r>
    </w:p>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560"/>
        <w:gridCol w:w="1100"/>
        <w:gridCol w:w="5266"/>
      </w:tblGrid>
      <w:tr>
        <w:trPr>
          <w:tblHeader/>
        </w:trPr>
        <w:tc>
          <w:tcPr>
            <w:tcW w:type="dxa" w:w="2100"/>
            <w:tcBorders>
              <w:top w:val="single" w:color="888888" w:sz="1"/>
              <w:left w:val="single" w:color="888888" w:sz="1"/>
              <w:bottom w:val="single" w:color="888888" w:sz="1"/>
              <w:right w:val="single" w:color="888888" w:sz="1"/>
            </w:tcBorders>
            <w:shd w:fill="1F3864" w:val="clear"/>
            <w:tcMar>
              <w:top w:type="dxa" w:w="80"/>
              <w:left w:type="dxa" w:w="120"/>
              <w:bottom w:type="dxa" w:w="80"/>
              <w:right w:type="dxa" w:w="120"/>
            </w:tcMar>
          </w:tcPr>
          <w:p>
            <w:r>
              <w:rPr>
                <w:b/>
                <w:bCs/>
                <w:color w:val="FFFFFF"/>
                <w:sz w:val="18"/>
                <w:szCs w:val="18"/>
              </w:rPr>
              <w:t xml:space="preserve">Section / Item</w:t>
            </w:r>
          </w:p>
        </w:tc>
        <w:tc>
          <w:tcPr>
            <w:tcW w:type="dxa" w:w="560"/>
            <w:tcBorders>
              <w:top w:val="single" w:color="888888" w:sz="1"/>
              <w:left w:val="single" w:color="888888" w:sz="1"/>
              <w:bottom w:val="single" w:color="888888" w:sz="1"/>
              <w:right w:val="single" w:color="888888" w:sz="1"/>
            </w:tcBorders>
            <w:shd w:fill="1F3864" w:val="clear"/>
            <w:tcMar>
              <w:top w:type="dxa" w:w="80"/>
              <w:left w:type="dxa" w:w="120"/>
              <w:bottom w:type="dxa" w:w="80"/>
              <w:right w:type="dxa" w:w="120"/>
            </w:tcMar>
          </w:tcPr>
          <w:p>
            <w:r>
              <w:rPr>
                <w:b/>
                <w:bCs/>
                <w:color w:val="FFFFFF"/>
                <w:sz w:val="18"/>
                <w:szCs w:val="18"/>
              </w:rPr>
              <w:t xml:space="preserve">Item No</w:t>
            </w:r>
          </w:p>
        </w:tc>
        <w:tc>
          <w:tcPr>
            <w:tcW w:type="dxa" w:w="1100"/>
            <w:tcBorders>
              <w:top w:val="single" w:color="888888" w:sz="1"/>
              <w:left w:val="single" w:color="888888" w:sz="1"/>
              <w:bottom w:val="single" w:color="888888" w:sz="1"/>
              <w:right w:val="single" w:color="888888" w:sz="1"/>
            </w:tcBorders>
            <w:shd w:fill="1F3864" w:val="clear"/>
            <w:tcMar>
              <w:top w:type="dxa" w:w="80"/>
              <w:left w:type="dxa" w:w="120"/>
              <w:bottom w:type="dxa" w:w="80"/>
              <w:right w:type="dxa" w:w="120"/>
            </w:tcMar>
          </w:tcPr>
          <w:p>
            <w:r>
              <w:rPr>
                <w:b/>
                <w:bCs/>
                <w:color w:val="FFFFFF"/>
                <w:sz w:val="18"/>
                <w:szCs w:val="18"/>
              </w:rPr>
              <w:t xml:space="preserve">Page No</w:t>
            </w:r>
          </w:p>
        </w:tc>
        <w:tc>
          <w:tcPr>
            <w:tcW w:type="dxa" w:w="5266"/>
            <w:tcBorders>
              <w:top w:val="single" w:color="888888" w:sz="1"/>
              <w:left w:val="single" w:color="888888" w:sz="1"/>
              <w:bottom w:val="single" w:color="888888" w:sz="1"/>
              <w:right w:val="single" w:color="888888" w:sz="1"/>
            </w:tcBorders>
            <w:shd w:fill="1F3864" w:val="clear"/>
            <w:tcMar>
              <w:top w:type="dxa" w:w="80"/>
              <w:left w:type="dxa" w:w="120"/>
              <w:bottom w:type="dxa" w:w="80"/>
              <w:right w:type="dxa" w:w="120"/>
            </w:tcMar>
          </w:tcPr>
          <w:p>
            <w:r>
              <w:rPr>
                <w:b/>
                <w:bCs/>
                <w:color w:val="FFFFFF"/>
                <w:sz w:val="18"/>
                <w:szCs w:val="18"/>
              </w:rPr>
              <w:t xml:space="preserve">Relevant text from manuscript</w:t>
            </w:r>
          </w:p>
        </w:tc>
      </w:tr>
      <w:tr>
        <w:tc>
          <w:tcPr>
            <w:tcW w:type="dxa" w:w="9026"/>
            <w:gridSpan w:val="4"/>
            <w:tcBorders>
              <w:top w:val="single" w:color="888888" w:sz="1"/>
              <w:left w:val="single" w:color="888888" w:sz="1"/>
              <w:bottom w:val="single" w:color="888888" w:sz="1"/>
              <w:right w:val="single" w:color="888888" w:sz="1"/>
            </w:tcBorders>
            <w:shd w:fill="D9E2F3" w:val="clear"/>
            <w:tcMar>
              <w:top w:type="dxa" w:w="80"/>
              <w:left w:type="dxa" w:w="120"/>
              <w:bottom w:type="dxa" w:w="80"/>
              <w:right w:type="dxa" w:w="120"/>
            </w:tcMar>
          </w:tcPr>
          <w:p>
            <w:r>
              <w:rPr>
                <w:b/>
                <w:bCs/>
                <w:color w:val="1F3864"/>
                <w:sz w:val="19"/>
                <w:szCs w:val="19"/>
              </w:rPr>
              <w:t xml:space="preserve">TITLE AND ABSTRACT</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Title and abstract</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1a</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"…A Retrospective Single-Center Study" — study design indicated with a commonly used term in the title.</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1b</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Structured abstract (Background, Objective, Methods, Results, Conclusions) provides an informative and balanced summary: reports null marker–stage finding, wound-origin confound, positive secondary associations (Braden, Karnofsky, stroke), and prevalence data.</w:t>
            </w:r>
          </w:p>
        </w:tc>
      </w:tr>
      <w:tr>
        <w:tc>
          <w:tcPr>
            <w:tcW w:type="dxa" w:w="9026"/>
            <w:gridSpan w:val="4"/>
            <w:tcBorders>
              <w:top w:val="single" w:color="888888" w:sz="1"/>
              <w:left w:val="single" w:color="888888" w:sz="1"/>
              <w:bottom w:val="single" w:color="888888" w:sz="1"/>
              <w:right w:val="single" w:color="888888" w:sz="1"/>
            </w:tcBorders>
            <w:shd w:fill="D9E2F3" w:val="clear"/>
            <w:tcMar>
              <w:top w:type="dxa" w:w="80"/>
              <w:left w:type="dxa" w:w="120"/>
              <w:bottom w:type="dxa" w:w="80"/>
              <w:right w:type="dxa" w:w="120"/>
            </w:tcMar>
          </w:tcPr>
          <w:p>
            <w:r>
              <w:rPr>
                <w:b/>
                <w:bCs/>
                <w:color w:val="1F3864"/>
                <w:sz w:val="19"/>
                <w:szCs w:val="19"/>
              </w:rPr>
              <w:t xml:space="preserve">INTRODUCTION</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Background / rationale</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2</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2</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PU burden in palliative care summarised (§1, paras 1–2). Prior NLR/MPV data in ICU and palliative cohorts reviewed [6,7,9]. Gap stated: NLR/MPV not evaluated across PU stages in non-oncological palliative populations.</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Objectives</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3</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2–3</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Two pre-specified objectives stated (§1, para 3): (i) examine whether admission NLR and MPV relate to PU presence and stage in a non-oncological palliative inpatient cohort; (ii) characterise PU epidemiology, wound origin and clinical correlates. Primary and secondary analyses designated a priori.</w:t>
            </w:r>
          </w:p>
        </w:tc>
      </w:tr>
      <w:tr>
        <w:tc>
          <w:tcPr>
            <w:tcW w:type="dxa" w:w="9026"/>
            <w:gridSpan w:val="4"/>
            <w:tcBorders>
              <w:top w:val="single" w:color="888888" w:sz="1"/>
              <w:left w:val="single" w:color="888888" w:sz="1"/>
              <w:bottom w:val="single" w:color="888888" w:sz="1"/>
              <w:right w:val="single" w:color="888888" w:sz="1"/>
            </w:tcBorders>
            <w:shd w:fill="D9E2F3" w:val="clear"/>
            <w:tcMar>
              <w:top w:type="dxa" w:w="80"/>
              <w:left w:type="dxa" w:w="120"/>
              <w:bottom w:type="dxa" w:w="80"/>
              <w:right w:type="dxa" w:w="120"/>
            </w:tcMar>
          </w:tcPr>
          <w:p>
            <w:r>
              <w:rPr>
                <w:b/>
                <w:bCs/>
                <w:color w:val="1F3864"/>
                <w:sz w:val="19"/>
                <w:szCs w:val="19"/>
              </w:rPr>
              <w:t xml:space="preserve">METHODS</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Study design</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4</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3</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Retrospective single-center observational study; stated in §2.1 ("This retrospective single-center study") and in abstract Methods section.</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Setting</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5</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3</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Palliative care unit of a secondary-level hospital, Zonguldak, Turkey. Data collection: 1 January 2022 – 1 January 2025 (§2.1).</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Participants (eligibility)</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6a</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3</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Inclusion: adults ≥18 years, admission &gt;24 h. Exclusion: any active malignancy (solid or haematological), active chemotherapy/radiotherapy, bone marrow failure (§2.2). Source: retrospective review of all consecutive admissions. 348 screened; 99 excluded (malignancy); 249 analysed. Flow diagram: Figure 1.</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Participants (matching)</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6b</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N/A</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Not a matched study. Not applicable.</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Variables</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7</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3–4</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Outcomes: PU presence and EPUAP/NPIAP stage (I–IV); wound origin (present on admission vs hospital-acquired, defined by date of first identification) (§2.3). Primary exposures: NLR and MPV from admission CBC. Secondary exposures: PLR, SII. Covariates: age, sex, LOS, comorbidities, Karnofsky Performance Status, Braden score, discharge destination, 30-day mortality.</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Data sources / measurement</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8</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3–4</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Laboratory values: routine admission CBC. NLR = neutrophil ÷ lymphocyte; PLR = platelet ÷ lymphocyte; SII = (neutrophil × platelet) ÷ lymphocyte (§2.3). PU staging by attending palliative care physician using EPUAP/NPIAP criteria. Karnofsky and Braden scores recorded at admission. Single assessor; no second rater (limitation 8, §4).</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Bias</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9</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3–5</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Malignancy excluded to remove haematological confounding (§2.2). Wound-origin/stage confound acknowledged as structural design limitation and discussed as primary interpretive constraint (§2.3, §3.2, §4). Reverse causation for LOS partially addressed by Cox time-to-event sensitivity analysis (§2.4). Univariate Table 1 comparisons explicitly labelled exploratory and uncorrected (§2.4).</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Study size</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10</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4–5</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All consecutive eligible admissions included; no a priori power calculation (§2.4). Retrospective minimum-detectable-effect reported: 80% power to detect Spearman |r| ≥ 0.28 with n=100 staged patients; minimum detectable OR ≈ 1.4 per SD increment with n=249, 100 events.</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Quantitative variables</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11</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4</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Continuous variables reported as median [IQR]. NLR, MPV, PLR, SII analysed as continuous variables; no arbitrary categorisation. Braden and Karnofsky scores entered continuously in all logistic and Cox regression models (§2.4).</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Statistical methods (a)</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12a</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4–5</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Primary analysis: Kruskal–Wallis test and Spearman correlation with 95% CI (NLR/MPV vs PU stage). Post-hoc pairwise comparisons: Mann–Whitney U with Bonferroni correction. AUC with 95% CI (DeLong method). Secondary analysis: multivariable logistic regression adjusted for LOS, Karnofsky, Braden, stroke, COPD, NLR, MPV. Multicollinearity assessed by VIF. Cox proportional hazards regression for time-to-hospital-acquired-PU (§2.4).</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Statistical methods (b)</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12b</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5</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Subgroup analyses: (1) post-hoc pairwise stage comparisons with Bonferroni correction; (2) hospital-acquired PU restricted time-to-event sensitivity analysis (Cox). Exploratory 30-day mortality logistic model (§3.4). All secondary analyses labelled as exploratory or hypothesis-generating.</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Statistical methods (c)</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12c</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5</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No missing data within the analytic cohort; complete-case analysis used. All 249 patients and all 100 staged PUs had complete data for all variables (§2.4). Stated explicitly.</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Statistical methods (d)</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12d</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5</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Primary analysis is cross-sectional (PU presence/stage at admission); no follow-up loss is applicable. For the pre-specified Cox sensitivity analysis, censoring rules are stated: patients discharged or deceased without a hospital-acquired PU were censored at that event (§2.4).</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Statistical methods (e)</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12e</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5</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Sensitivity analysis: Cox proportional hazards regression restricted to hospital-acquired PU outcome, to address LOS reverse causation. Proportional hazards assumption assessed by Schoenfeld residuals (§2.4).</w:t>
            </w:r>
          </w:p>
        </w:tc>
      </w:tr>
      <w:tr>
        <w:tc>
          <w:tcPr>
            <w:tcW w:type="dxa" w:w="9026"/>
            <w:gridSpan w:val="4"/>
            <w:tcBorders>
              <w:top w:val="single" w:color="888888" w:sz="1"/>
              <w:left w:val="single" w:color="888888" w:sz="1"/>
              <w:bottom w:val="single" w:color="888888" w:sz="1"/>
              <w:right w:val="single" w:color="888888" w:sz="1"/>
            </w:tcBorders>
            <w:shd w:fill="D9E2F3" w:val="clear"/>
            <w:tcMar>
              <w:top w:type="dxa" w:w="80"/>
              <w:left w:type="dxa" w:w="120"/>
              <w:bottom w:type="dxa" w:w="80"/>
              <w:right w:type="dxa" w:w="120"/>
            </w:tcMar>
          </w:tcPr>
          <w:p>
            <w:r>
              <w:rPr>
                <w:b/>
                <w:bCs/>
                <w:color w:val="1F3864"/>
                <w:sz w:val="19"/>
                <w:szCs w:val="19"/>
              </w:rPr>
              <w:t xml:space="preserve">RESULTS</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Participants (a)</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13a</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5–6</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348 screened; 99 excluded (active malignancy); 249 included in analysis. Of 249: 100 had PU (all staged), 149 did not. Flow diagram in Figure 1 (§2.1, §3.1).</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Participants (b)</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13b</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3</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Sole reason for exclusion: active malignancy (any solid or haematological; n=99). Rationale stated in §2.2. No other exclusions applied.</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Participants (c)</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13c</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3</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Participant flow diagram provided as Figure 1, labelled "STROBE" (§2.1).</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Descriptive data (a)</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14a</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5–6</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Full cohort characteristics in Table 1 (n=249): age, sex, LOS, Karnofsky score, Braden score, comorbidities, laboratory parameters, and outcomes, stratified by PU presence (§3.1).</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Descriptive data (b)</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14b</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5</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No missing data in the analytic cohort; all variables including PU stage were complete for all 249 patients. Stated explicitly in §2.4.</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Descriptive data (c)</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14c</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N/A</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Primary analysis is cross-sectional; follow-up time is not summarised as a primary measure. The Cox sensitivity analysis uses time-to-event but is a pre-specified secondary analysis. N/A for main analysis.</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Outcome data</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15</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6</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PU point prevalence 40.2% (100/249); stage distribution Stage I 19.0%, II 61.0%, III 17.0%, IV 3.0%. Wound origin (present on admission vs hospital-acquired) reported overall (Table 1) and per stage (Table 2) (§3.1, §3.2).</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Main results (a)</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16a</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6–8</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Unadjusted (univariate) estimates in Table 1 (labelled exploratory). Adjusted OR with 95% CI and p in Table 3 (logistic regression). Confounders specified and rationale for inclusion stated (§2.4, §3.3). Cox HR with 95% CI reported in §3.3.</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Main results (b)</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16b</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6</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All continuous exposures (NLR, MPV, Braden, Karnofsky, LOS) retained as continuous; ORs reported per unit increment. No categorisation applied; no category boundaries to report.</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Main results (c)</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16c</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N/A</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Translation of relative risk to absolute risk not performed; primary analysis is a marker–stage association in an observational cross-sectional design. N/A.</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Other analyses</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17</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7–8</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PLR and SII analyses across PU stages (§3.2). AUC analysis for deep (III–IV) vs superficial (I–II) PU discrimination (§3.2). Cox time-to-event sensitivity analysis restricted to hospital-acquired PU (§3.3). Exploratory 30-day mortality logistic model (§3.4). All analyses labelled secondary, exploratory, or hypothesis-generating.</w:t>
            </w:r>
          </w:p>
        </w:tc>
      </w:tr>
      <w:tr>
        <w:tc>
          <w:tcPr>
            <w:tcW w:type="dxa" w:w="9026"/>
            <w:gridSpan w:val="4"/>
            <w:tcBorders>
              <w:top w:val="single" w:color="888888" w:sz="1"/>
              <w:left w:val="single" w:color="888888" w:sz="1"/>
              <w:bottom w:val="single" w:color="888888" w:sz="1"/>
              <w:right w:val="single" w:color="888888" w:sz="1"/>
            </w:tcBorders>
            <w:shd w:fill="D9E2F3" w:val="clear"/>
            <w:tcMar>
              <w:top w:type="dxa" w:w="80"/>
              <w:left w:type="dxa" w:w="120"/>
              <w:bottom w:type="dxa" w:w="80"/>
              <w:right w:type="dxa" w:w="120"/>
            </w:tcMar>
          </w:tcPr>
          <w:p>
            <w:r>
              <w:rPr>
                <w:b/>
                <w:bCs/>
                <w:color w:val="1F3864"/>
                <w:sz w:val="19"/>
                <w:szCs w:val="19"/>
              </w:rPr>
              <w:t xml:space="preserve">DISCUSSION</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Key results</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18</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8</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Results summarised with reference to both pre-specified objectives (§4, para 1): null NLR/MPV marker–stage finding; wound-origin confound identified as structural limitation; clinical correlates confirmed (lower Braden, lower Karnofsky, stroke for hospital-acquired PU).</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Limitations</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19</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10–11</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Nine numbered limitations discussed (§4, Limitations paragraph): (1st) wound-origin/stage confound and insufficient deep-stage wounds; (2nd) malignancy exclusion limiting generalisability to oncological patients; (3rd) single-center retrospective design; (4th) LOS reverse causation; (5th) unavailable nutritional markers (albumin, prealbumin, BMI, NRS-2002) and absence of CRP; (6th) single-admission CBC, no longitudinal marker data; (7th) Braden AUC unvalidated in-sample; (8th) single-assessor PU staging without inter-rater κ; (9th) no prevention-process data. Direction and magnitude of potential bias discussed for each.</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Interpretation</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20</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8–11</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Cautious overall interpretation: null NLR/MPV result described as inconclusive rather than negative owing to structural confound (§4, paras 1–2). Univariate marker associations explained as confounded by functional status after multivariable adjustment (§4, para 3). Results contextualised against similar studies [6,7,9,11,12,13]. Multiplicity acknowledged: Table 1 comparisons labelled exploratory/uncorrected (§2.4, §3.2).</w:t>
            </w:r>
          </w:p>
        </w:tc>
      </w:tr>
      <w:tr>
        <w:tc>
          <w:tcPr>
            <w:tcW w:type="dxa" w:w="2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Generalisability</w:t>
            </w:r>
          </w:p>
        </w:tc>
        <w:tc>
          <w:tcPr>
            <w:tcW w:type="dxa" w:w="56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21</w:t>
            </w:r>
          </w:p>
        </w:tc>
        <w:tc>
          <w:tcPr>
            <w:tcW w:type="dxa" w:w="1100"/>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10–11</w:t>
            </w:r>
          </w:p>
        </w:tc>
        <w:tc>
          <w:tcPr>
            <w:tcW w:type="dxa" w:w="5266"/>
            <w:tcBorders>
              <w:top w:val="single" w:color="888888" w:sz="1"/>
              <w:left w:val="single" w:color="888888" w:sz="1"/>
              <w:bottom w:val="single" w:color="888888" w:sz="1"/>
              <w:right w:val="single" w:color="888888" w:sz="1"/>
            </w:tcBorders>
            <w:shd w:fill="F5F5F5" w:val="clear"/>
            <w:tcMar>
              <w:top w:type="dxa" w:w="80"/>
              <w:left w:type="dxa" w:w="120"/>
              <w:bottom w:type="dxa" w:w="80"/>
              <w:right w:type="dxa" w:w="120"/>
            </w:tcMar>
          </w:tcPr>
          <w:p>
            <w:r>
              <w:rPr>
                <w:b w:val="false"/>
                <w:bCs w:val="false"/>
                <w:sz w:val="17"/>
                <w:szCs w:val="17"/>
              </w:rPr>
              <w:t xml:space="preserve">External validity discussed: single-center design limits generalisability; malignancy exclusion means findings do not apply to oncological palliative patients; non-oncological population distinguished from predominantly oncological published PU data; broader generalisability requires multi-center prospective replication (§4, Limitations and Discussion).</w:t>
            </w:r>
          </w:p>
        </w:tc>
      </w:tr>
      <w:tr>
        <w:tc>
          <w:tcPr>
            <w:tcW w:type="dxa" w:w="9026"/>
            <w:gridSpan w:val="4"/>
            <w:tcBorders>
              <w:top w:val="single" w:color="888888" w:sz="1"/>
              <w:left w:val="single" w:color="888888" w:sz="1"/>
              <w:bottom w:val="single" w:color="888888" w:sz="1"/>
              <w:right w:val="single" w:color="888888" w:sz="1"/>
            </w:tcBorders>
            <w:shd w:fill="D9E2F3" w:val="clear"/>
            <w:tcMar>
              <w:top w:type="dxa" w:w="80"/>
              <w:left w:type="dxa" w:w="120"/>
              <w:bottom w:type="dxa" w:w="80"/>
              <w:right w:type="dxa" w:w="120"/>
            </w:tcMar>
          </w:tcPr>
          <w:p>
            <w:r>
              <w:rPr>
                <w:b/>
                <w:bCs/>
                <w:color w:val="1F3864"/>
                <w:sz w:val="19"/>
                <w:szCs w:val="19"/>
              </w:rPr>
              <w:t xml:space="preserve">OTHER INFORMATION</w:t>
            </w:r>
          </w:p>
        </w:tc>
      </w:tr>
      <w:tr>
        <w:tc>
          <w:tcPr>
            <w:tcW w:type="dxa" w:w="2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Funding</w:t>
            </w:r>
          </w:p>
        </w:tc>
        <w:tc>
          <w:tcPr>
            <w:tcW w:type="dxa" w:w="56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22</w:t>
            </w:r>
          </w:p>
        </w:tc>
        <w:tc>
          <w:tcPr>
            <w:tcW w:type="dxa" w:w="1100"/>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12</w:t>
            </w:r>
          </w:p>
        </w:tc>
        <w:tc>
          <w:tcPr>
            <w:tcW w:type="dxa" w:w="5266"/>
            <w:tcBorders>
              <w:top w:val="single" w:color="888888" w:sz="1"/>
              <w:left w:val="single" w:color="888888" w:sz="1"/>
              <w:bottom w:val="single" w:color="888888" w:sz="1"/>
              <w:right w:val="single" w:color="888888" w:sz="1"/>
            </w:tcBorders>
            <w:shd w:fill="FFFFFF" w:val="clear"/>
            <w:tcMar>
              <w:top w:type="dxa" w:w="80"/>
              <w:left w:type="dxa" w:w="120"/>
              <w:bottom w:type="dxa" w:w="80"/>
              <w:right w:type="dxa" w:w="120"/>
            </w:tcMar>
          </w:tcPr>
          <w:p>
            <w:r>
              <w:rPr>
                <w:b w:val="false"/>
                <w:bCs w:val="false"/>
                <w:sz w:val="17"/>
                <w:szCs w:val="17"/>
              </w:rPr>
              <w:t xml:space="preserve">No funding received. Stated on title page ("Funding: None" removed in this version but confirmed in Declarations: "The authors received no specific funding for this work"). No funder involvement.</w:t>
            </w:r>
          </w:p>
        </w:tc>
      </w:tr>
    </w:tbl>
    <w:p>
      <w:r>
        <w:t xml:space="preserve"/>
      </w:r>
    </w:p>
    <w:p>
      <w:r>
        <w:rPr>
          <w:i/>
          <w:iCs/>
          <w:color w:val="666666"/>
          <w:sz w:val="16"/>
          <w:szCs w:val="16"/>
        </w:rPr>
        <w:t xml:space="preserve">Notes: Page numbers refer to the submitted manuscript file (NLR_MPV_PressureUlcer_Submission.docx). N/A = not applicable for this study design. § = section of the manuscript. All section references are to the submitted version.</w:t>
      </w:r>
    </w:p>
    <w:sectPr>
      <w:pgSz w:w="11906" w:h="16838" w:orient="portrait"/>
      <w:pgMar w:top="1000" w:right="900" w:bottom="10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2026-06-09T07:50:31.363Z</dcterms:created>
  <dcterms:modified xsi:type="dcterms:W3CDTF">2026-06-09T07:50:31.379Z</dcterms:modified>
</cp:coreProperties>
</file>

<file path=docProps/custom.xml><?xml version="1.0" encoding="utf-8"?>
<Properties xmlns="http://schemas.openxmlformats.org/officeDocument/2006/custom-properties" xmlns:vt="http://schemas.openxmlformats.org/officeDocument/2006/docPropsVTypes"/>
</file>