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4B" w:rsidRDefault="00130AD1">
      <w:pPr>
        <w:pStyle w:val="Balk1"/>
      </w:pPr>
      <w:r>
        <w:t>STROBE Statement — Checklist for Cohort Studies</w:t>
      </w:r>
    </w:p>
    <w:p w:rsidR="00982A4B" w:rsidRDefault="00130AD1" w:rsidP="004C3C3C">
      <w:pPr>
        <w:spacing w:after="100"/>
      </w:pPr>
      <w:r>
        <w:rPr>
          <w:i/>
          <w:iCs/>
          <w:sz w:val="19"/>
          <w:szCs w:val="19"/>
        </w:rPr>
        <w:t xml:space="preserve">Manuscript: </w:t>
      </w:r>
      <w:r w:rsidRPr="00130AD1">
        <w:rPr>
          <w:i/>
          <w:iCs/>
          <w:sz w:val="19"/>
          <w:szCs w:val="19"/>
        </w:rPr>
        <w:t xml:space="preserve">Predictors of 90-Day Mortality in Critically Ill Cancer Patients: The Role of Admission Diagnosis, Disease Status, and Illness Severity Scores—A Single-Center Retrospective Cohort Study </w:t>
      </w:r>
      <w:r>
        <w:rPr>
          <w:i/>
          <w:iCs/>
          <w:sz w:val="19"/>
          <w:szCs w:val="19"/>
        </w:rPr>
        <w:t>(</w:t>
      </w:r>
      <w:proofErr w:type="spellStart"/>
      <w:r>
        <w:rPr>
          <w:i/>
          <w:iCs/>
          <w:sz w:val="19"/>
          <w:szCs w:val="19"/>
        </w:rPr>
        <w:t>Yıldız</w:t>
      </w:r>
      <w:proofErr w:type="spellEnd"/>
      <w:r>
        <w:rPr>
          <w:i/>
          <w:iCs/>
          <w:sz w:val="19"/>
          <w:szCs w:val="19"/>
        </w:rPr>
        <w:t xml:space="preserve">, </w:t>
      </w:r>
      <w:proofErr w:type="spellStart"/>
      <w:r>
        <w:rPr>
          <w:i/>
          <w:iCs/>
          <w:sz w:val="19"/>
          <w:szCs w:val="19"/>
        </w:rPr>
        <w:t>Hancı</w:t>
      </w:r>
      <w:proofErr w:type="spellEnd"/>
      <w:r>
        <w:rPr>
          <w:i/>
          <w:iCs/>
          <w:sz w:val="19"/>
          <w:szCs w:val="19"/>
        </w:rPr>
        <w:t xml:space="preserve">, </w:t>
      </w:r>
      <w:proofErr w:type="spellStart"/>
      <w:r>
        <w:rPr>
          <w:i/>
          <w:iCs/>
          <w:sz w:val="19"/>
          <w:szCs w:val="19"/>
        </w:rPr>
        <w:t>İnal</w:t>
      </w:r>
      <w:proofErr w:type="spellEnd"/>
      <w:r>
        <w:rPr>
          <w:i/>
          <w:iCs/>
          <w:sz w:val="19"/>
          <w:szCs w:val="19"/>
        </w:rPr>
        <w:t>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4760"/>
        <w:gridCol w:w="3780"/>
      </w:tblGrid>
      <w:tr w:rsidR="00982A4B">
        <w:trPr>
          <w:tblHeader/>
        </w:trPr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Item No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Recommendation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Location in manuscript</w:t>
            </w:r>
          </w:p>
        </w:tc>
      </w:tr>
      <w:tr w:rsidR="00982A4B">
        <w:tc>
          <w:tcPr>
            <w:tcW w:w="82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Title and abstract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 (a)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Indicate the study design with a commonly used term in the title or abstract.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 w:rsidP="00130AD1">
            <w:r>
              <w:rPr>
                <w:sz w:val="19"/>
                <w:szCs w:val="19"/>
              </w:rPr>
              <w:t>Abstract, Title — Materials and methods (“retrospectively analyzed”).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 (b)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Provide an informative and balanced summary of what was done and found in the abstract.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Abstract (Background/aim, Materials and methods, Results, Conclusion).</w:t>
            </w:r>
          </w:p>
        </w:tc>
      </w:tr>
      <w:tr w:rsidR="00982A4B">
        <w:tc>
          <w:tcPr>
            <w:tcW w:w="82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Introduction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Explain the scientific background and rationale for the investigation.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Introduction, paragraphs 1–2.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 xml:space="preserve">State specific objectives, including any </w:t>
            </w:r>
            <w:proofErr w:type="spellStart"/>
            <w:r>
              <w:rPr>
                <w:sz w:val="19"/>
                <w:szCs w:val="19"/>
              </w:rPr>
              <w:t>prespecified</w:t>
            </w:r>
            <w:proofErr w:type="spellEnd"/>
            <w:r>
              <w:rPr>
                <w:sz w:val="19"/>
                <w:szCs w:val="19"/>
              </w:rPr>
              <w:t xml:space="preserve"> hypotheses.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 xml:space="preserve">Introduction, final paragraph (primary and secondary </w:t>
            </w:r>
            <w:proofErr w:type="spellStart"/>
            <w:r>
              <w:rPr>
                <w:sz w:val="19"/>
                <w:szCs w:val="19"/>
              </w:rPr>
              <w:t>prespecified</w:t>
            </w:r>
            <w:proofErr w:type="spellEnd"/>
            <w:r>
              <w:rPr>
                <w:sz w:val="19"/>
                <w:szCs w:val="19"/>
              </w:rPr>
              <w:t xml:space="preserve"> aims).</w:t>
            </w:r>
          </w:p>
        </w:tc>
      </w:tr>
      <w:tr w:rsidR="00982A4B">
        <w:tc>
          <w:tcPr>
            <w:tcW w:w="82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Methods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Present key elements of the study design early in the paper.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Study Design and Patient Selection (single-center, retrospective, observational cohort).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Describe the setting, locations, and relevant dates (recruitment, exposure, follow-up, data collection).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Study Design (</w:t>
            </w:r>
            <w:proofErr w:type="spellStart"/>
            <w:r>
              <w:rPr>
                <w:sz w:val="19"/>
                <w:szCs w:val="19"/>
              </w:rPr>
              <w:t>Trakya</w:t>
            </w:r>
            <w:proofErr w:type="spellEnd"/>
            <w:r>
              <w:rPr>
                <w:sz w:val="19"/>
                <w:szCs w:val="19"/>
              </w:rPr>
              <w:t xml:space="preserve"> University Internal Medicine &amp; Respiratory ICUs; January 2024–January 2025).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6 (a)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Give eligibility criteria, sources and methods of participant selection, and methods of follow-up.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Study Design (inclusion/exclusion criteria; index-admission rule for readmissions).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6 (b)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For matched studies, give matching criteria and number of exposed/unexposed.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Not applicable (unmatched cohort).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Clearly define all outcomes, exposures, predictors, potential confounders, and effect modifiers.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Data Collection (outcome: 90-day mortality; predictors: localization, clinical status, admission reason; covariates: CCI, CFS, GCS, APACHE-II, SOFA, age, sex).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For each variable, give sources of data and details of methods of assessment (measurement).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Data Collection (institutional electronic medical record; standardized data collection form; validated scores within 24 h of admission).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Describe any efforts to address potential sources of bias.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Data Collection (a priori combination of admission categories with n&lt;5; complete follow-up; anonymization). Discussion — Study Limitations (residual confounding from unavailable ECOG/Karnofsky performance status).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Explain how the study size was arrived at.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 w:rsidP="004C3C3C">
            <w:r>
              <w:rPr>
                <w:sz w:val="19"/>
                <w:szCs w:val="19"/>
              </w:rPr>
              <w:t>Methods — Statistical Analysis and Results — Participants (full eligible cohort, 315 screened → 308 analyzed; events-per-variable ratio = 11.1 as model-adequacy justification).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lastRenderedPageBreak/>
              <w:t>11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Explain how quantitative variables were handled; describe groupings and rationale.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Data Collection &amp; Statistical Analysis (seven localization categories; small admission categories combined into ‘Other’; continuous variables modeled per 1-SD increase).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12 (a)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Describe all statistical methods, including those used to control for confounding.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Statistical Analysis (multivariable binary logistic regression; VIF for collinearity).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12 (b)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Describe any methods used to examine subgroups and interactions.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 xml:space="preserve">Methods — Statistical Analysis and Results — Unadjusted Survival Analyses (Bonferroni-corrected pairwise log-rank; </w:t>
            </w:r>
            <w:proofErr w:type="spellStart"/>
            <w:r>
              <w:rPr>
                <w:sz w:val="19"/>
                <w:szCs w:val="19"/>
              </w:rPr>
              <w:t>prespecified</w:t>
            </w:r>
            <w:proofErr w:type="spellEnd"/>
            <w:r>
              <w:rPr>
                <w:sz w:val="19"/>
                <w:szCs w:val="19"/>
              </w:rPr>
              <w:t xml:space="preserve"> GI-vs-rest contrast); Supplementary Tables S1–S2.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12 (c)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Explain how missing data were addressed.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Study Design (incomplete clinical data as an exclusion criterion) &amp; Data Collection (no patient lost to follow-up before day 90).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12 (d)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If applicable, explain how loss to follow-up was addressed.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Data Collection (administrative censoring at day 90; survival confirmed via electronic record and outpatient follow-up; no loss to follow-up).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12 (e)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Describe any sensitivity analyses.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 xml:space="preserve">Methods — Statistical Analysis and Results — Model Performance (proportional-hazards testing via </w:t>
            </w:r>
            <w:proofErr w:type="spellStart"/>
            <w:r>
              <w:rPr>
                <w:sz w:val="19"/>
                <w:szCs w:val="19"/>
              </w:rPr>
              <w:t>Schoenfeld</w:t>
            </w:r>
            <w:proofErr w:type="spellEnd"/>
            <w:r>
              <w:rPr>
                <w:sz w:val="19"/>
                <w:szCs w:val="19"/>
              </w:rPr>
              <w:t xml:space="preserve"> residuals; 2000-iteration bootstrap CIs for the AUC).</w:t>
            </w:r>
          </w:p>
        </w:tc>
      </w:tr>
      <w:tr w:rsidR="00982A4B">
        <w:tc>
          <w:tcPr>
            <w:tcW w:w="82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Results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13 (a)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Report numbers of individuals at each stage (eligible, examined, analyzed).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— Participants (315 screened, 7 excluded, 308 analyzed); Figure 1.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13 (b)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Give reasons for non-participation at each stage.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— Participants (5 with ICU stay &lt;24 h, 1 duplicate, 1 readmission).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13 (c)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Consider use of a flow diagram.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Figure 1 (STROBE patient flow diagram).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14 (a)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Give characteristics of participants and information on exposures and potential confounders.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— Participants; Table 1; Table 2.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14 (b)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Indicate the number of participants with missing data for each variable of interest.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/ Methods (complete dataset; no loss to follow-up).</w:t>
            </w:r>
          </w:p>
          <w:p w:rsidR="00982A4B" w:rsidRPr="004C3C3C" w:rsidRDefault="004C3C3C">
            <w:pPr>
              <w:spacing w:before="40"/>
              <w:rPr>
                <w:sz w:val="19"/>
                <w:szCs w:val="19"/>
              </w:rPr>
            </w:pPr>
            <w:r w:rsidRPr="004C3C3C">
              <w:rPr>
                <w:iCs/>
                <w:sz w:val="19"/>
                <w:szCs w:val="19"/>
              </w:rPr>
              <w:t>Data were complete.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14 (c)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Summarize follow-up time (e.g., average and total amount).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/ Results (fixed 90-day follow-up horizon; median ICU length of stay 6 days).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Report numbers of outcome events or summary measures over time.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— Participants (210 deaths; 90-day mortality 68.2%).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16 (a)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Give unadjusted and confounder-adjusted estimates and their precision (e.g., 95% CI).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— Unadjusted Survival Analyses (RMST, log-rank) and Multivariable Analysis (adjusted ORs with 95% CI); Table 3.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lastRenderedPageBreak/>
              <w:t>16 (b)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Report category boundaries when continuous variables were categorized.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Methods — Data Collection (category definitions for localization, clinical status, and admission reason).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16 (c)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If relevant, translate estimates of relative risk into absolute risk for a meaningful time period.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/ Discussion (group-specific mortality, e.g., postoperative monitoring 20.3%).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Report other analyses done (subgroups, interactions, sensitivity analyses).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Results — Model Performance (bootstrap CIs; exploratory Youden cut-off); Supplementary Tables S1–S2.</w:t>
            </w:r>
          </w:p>
        </w:tc>
      </w:tr>
      <w:tr w:rsidR="00982A4B">
        <w:tc>
          <w:tcPr>
            <w:tcW w:w="82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Discussion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Summarize key results with reference to study objectives.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Discussion, opening paragraph (three central findings).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19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Discuss limitations, accounting for sources of potential bias or imprecision.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Discussion — Study Limitations.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Give a cautious overall interpretation considering objectives, limitations, and other evidence.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Discussion (full section).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Discuss the generalizability (external validity) of the results.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Discussion &amp; Study Limitations (single-center setting; need for multicenter prospective external validation).</w:t>
            </w:r>
          </w:p>
        </w:tc>
      </w:tr>
      <w:tr w:rsidR="00982A4B">
        <w:tc>
          <w:tcPr>
            <w:tcW w:w="82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Other information</w:t>
            </w:r>
          </w:p>
        </w:tc>
      </w:tr>
      <w:tr w:rsidR="00982A4B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b/>
                <w:bCs/>
                <w:sz w:val="19"/>
                <w:szCs w:val="19"/>
              </w:rPr>
              <w:t>22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130AD1">
            <w:r>
              <w:rPr>
                <w:sz w:val="19"/>
                <w:szCs w:val="19"/>
              </w:rPr>
              <w:t>Give the source of funding and the role of funders for the present study and, if applicable, the original study on which the present article is based.</w:t>
            </w:r>
          </w:p>
        </w:tc>
        <w:tc>
          <w:tcPr>
            <w:tcW w:w="37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82A4B" w:rsidRDefault="00A103E2" w:rsidP="004C3C3C">
            <w:r w:rsidRPr="00A103E2">
              <w:t>Funding statement (title page)</w:t>
            </w:r>
          </w:p>
        </w:tc>
      </w:tr>
    </w:tbl>
    <w:p w:rsidR="00982A4B" w:rsidRDefault="00130AD1">
      <w:pPr>
        <w:spacing w:before="200"/>
      </w:pPr>
      <w:r>
        <w:rPr>
          <w:i/>
          <w:iCs/>
          <w:sz w:val="17"/>
          <w:szCs w:val="17"/>
        </w:rPr>
        <w:t xml:space="preserve">The STROBE checklist is provided by the STROBE Initiative (www.strobe-statement.org); recommendation wording here is summarized. An Explanation and Elaboration article discusses each checklist item and is available on the STROBE website and in </w:t>
      </w:r>
      <w:proofErr w:type="spellStart"/>
      <w:r>
        <w:rPr>
          <w:i/>
          <w:iCs/>
          <w:sz w:val="17"/>
          <w:szCs w:val="17"/>
        </w:rPr>
        <w:t>PLoS</w:t>
      </w:r>
      <w:proofErr w:type="spellEnd"/>
      <w:r>
        <w:rPr>
          <w:i/>
          <w:iCs/>
          <w:sz w:val="17"/>
          <w:szCs w:val="17"/>
        </w:rPr>
        <w:t xml:space="preserve"> Medicine, Annals of Internal Medicine, and Epidemiology.</w:t>
      </w:r>
      <w:bookmarkStart w:id="0" w:name="_GoBack"/>
      <w:bookmarkEnd w:id="0"/>
    </w:p>
    <w:sectPr w:rsidR="00982A4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E42C9"/>
    <w:multiLevelType w:val="hybridMultilevel"/>
    <w:tmpl w:val="938E3500"/>
    <w:lvl w:ilvl="0" w:tplc="ACD02E0A">
      <w:start w:val="1"/>
      <w:numFmt w:val="bullet"/>
      <w:lvlText w:val="●"/>
      <w:lvlJc w:val="left"/>
      <w:pPr>
        <w:ind w:left="720" w:hanging="360"/>
      </w:pPr>
    </w:lvl>
    <w:lvl w:ilvl="1" w:tplc="98C2DB7E">
      <w:start w:val="1"/>
      <w:numFmt w:val="bullet"/>
      <w:lvlText w:val="○"/>
      <w:lvlJc w:val="left"/>
      <w:pPr>
        <w:ind w:left="1440" w:hanging="360"/>
      </w:pPr>
    </w:lvl>
    <w:lvl w:ilvl="2" w:tplc="12CA1134">
      <w:start w:val="1"/>
      <w:numFmt w:val="bullet"/>
      <w:lvlText w:val="■"/>
      <w:lvlJc w:val="left"/>
      <w:pPr>
        <w:ind w:left="2160" w:hanging="360"/>
      </w:pPr>
    </w:lvl>
    <w:lvl w:ilvl="3" w:tplc="61DEDA7C">
      <w:start w:val="1"/>
      <w:numFmt w:val="bullet"/>
      <w:lvlText w:val="●"/>
      <w:lvlJc w:val="left"/>
      <w:pPr>
        <w:ind w:left="2880" w:hanging="360"/>
      </w:pPr>
    </w:lvl>
    <w:lvl w:ilvl="4" w:tplc="8AE054D4">
      <w:start w:val="1"/>
      <w:numFmt w:val="bullet"/>
      <w:lvlText w:val="○"/>
      <w:lvlJc w:val="left"/>
      <w:pPr>
        <w:ind w:left="3600" w:hanging="360"/>
      </w:pPr>
    </w:lvl>
    <w:lvl w:ilvl="5" w:tplc="E238FFC2">
      <w:start w:val="1"/>
      <w:numFmt w:val="bullet"/>
      <w:lvlText w:val="■"/>
      <w:lvlJc w:val="left"/>
      <w:pPr>
        <w:ind w:left="4320" w:hanging="360"/>
      </w:pPr>
    </w:lvl>
    <w:lvl w:ilvl="6" w:tplc="7520DCCA">
      <w:start w:val="1"/>
      <w:numFmt w:val="bullet"/>
      <w:lvlText w:val="●"/>
      <w:lvlJc w:val="left"/>
      <w:pPr>
        <w:ind w:left="5040" w:hanging="360"/>
      </w:pPr>
    </w:lvl>
    <w:lvl w:ilvl="7" w:tplc="D7C2B522">
      <w:start w:val="1"/>
      <w:numFmt w:val="bullet"/>
      <w:lvlText w:val="●"/>
      <w:lvlJc w:val="left"/>
      <w:pPr>
        <w:ind w:left="5760" w:hanging="360"/>
      </w:pPr>
    </w:lvl>
    <w:lvl w:ilvl="8" w:tplc="78E671D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4B"/>
    <w:rsid w:val="00130AD1"/>
    <w:rsid w:val="004C3C3C"/>
    <w:rsid w:val="00982A4B"/>
    <w:rsid w:val="00A103E2"/>
    <w:rsid w:val="00B4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1441F-5BD1-4E8B-9273-A285E974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spacing w:before="120" w:after="160"/>
      <w:outlineLvl w:val="0"/>
    </w:pPr>
    <w:rPr>
      <w:b/>
      <w:bCs/>
      <w:sz w:val="26"/>
      <w:szCs w:val="26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hesabı</cp:lastModifiedBy>
  <cp:revision>5</cp:revision>
  <dcterms:created xsi:type="dcterms:W3CDTF">2026-06-07T10:54:00Z</dcterms:created>
  <dcterms:modified xsi:type="dcterms:W3CDTF">2026-06-07T11:10:00Z</dcterms:modified>
</cp:coreProperties>
</file>