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C5" w:rsidRPr="00D57A41" w:rsidRDefault="00D57A41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D57A41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S1. </w:t>
      </w:r>
      <w:r w:rsidRPr="00D57A41">
        <w:rPr>
          <w:rFonts w:ascii="Times New Roman" w:hAnsi="Times New Roman" w:cs="Times New Roman"/>
          <w:sz w:val="20"/>
          <w:szCs w:val="20"/>
        </w:rPr>
        <w:t>Pairwise log-rank comparisons of 90-day survival across primary tumo</w:t>
      </w:r>
      <w:bookmarkStart w:id="0" w:name="_GoBack"/>
      <w:bookmarkEnd w:id="0"/>
      <w:r w:rsidRPr="00D57A41">
        <w:rPr>
          <w:rFonts w:ascii="Times New Roman" w:hAnsi="Times New Roman" w:cs="Times New Roman"/>
          <w:sz w:val="20"/>
          <w:szCs w:val="20"/>
        </w:rPr>
        <w:t>r localizations</w:t>
      </w:r>
    </w:p>
    <w:tbl>
      <w:tblPr>
        <w:tblStyle w:val="ListeTablo2"/>
        <w:tblW w:w="9360" w:type="dxa"/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4360"/>
        <w:gridCol w:w="1400"/>
        <w:gridCol w:w="1800"/>
        <w:gridCol w:w="1800"/>
      </w:tblGrid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Raw p-value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Bonferroni-corrected p-value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Lung vs. gastrointestinal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Lung vs. renal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Lung vs. head and neck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Lung vs. breast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Lung vs. central nervous system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Lung vs. miscellaneous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Gastrointestinal vs. renal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Gastrointestinal vs. head and neck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Gastrointestinal vs. breast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Gastrointestinal vs. central nervous system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0.419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Gastrointestinal vs. miscellaneous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Renal vs. head and neck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Renal vs. breast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Renal vs. central nervous system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Renal vs. miscellaneous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Head and neck vs. breast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Head and neck vs. central nervous system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Head and neck vs. miscellaneous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0.600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Breast vs. central nervous system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Breast vs. miscellaneous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Central nervous system vs. miscellaneous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</w:tbl>
    <w:p w:rsidR="000D0AC5" w:rsidRPr="00D57A41" w:rsidRDefault="00D57A41">
      <w:pPr>
        <w:spacing w:before="80" w:after="240"/>
        <w:rPr>
          <w:rFonts w:ascii="Times New Roman" w:hAnsi="Times New Roman" w:cs="Times New Roman"/>
          <w:sz w:val="20"/>
          <w:szCs w:val="20"/>
        </w:rPr>
      </w:pPr>
      <w:r w:rsidRPr="00D57A41">
        <w:rPr>
          <w:rFonts w:ascii="Times New Roman" w:hAnsi="Times New Roman" w:cs="Times New Roman"/>
          <w:i/>
          <w:iCs/>
          <w:sz w:val="20"/>
          <w:szCs w:val="20"/>
        </w:rPr>
        <w:t>No pairwise comparison remained statistically significant after Bonferroni correction. χ², log-rank chi-square statistic.</w:t>
      </w:r>
    </w:p>
    <w:p w:rsidR="0052241B" w:rsidRDefault="0052241B">
      <w:pPr>
        <w:spacing w:before="120" w:after="120"/>
        <w:rPr>
          <w:b/>
          <w:bCs/>
        </w:rPr>
      </w:pPr>
    </w:p>
    <w:p w:rsidR="0052241B" w:rsidRPr="00D57A41" w:rsidRDefault="0052241B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</w:rPr>
      </w:pPr>
    </w:p>
    <w:p w:rsidR="000D0AC5" w:rsidRPr="00D57A41" w:rsidRDefault="00D57A41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D57A41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S2. </w:t>
      </w:r>
      <w:r w:rsidRPr="00D57A41">
        <w:rPr>
          <w:rFonts w:ascii="Times New Roman" w:hAnsi="Times New Roman" w:cs="Times New Roman"/>
          <w:sz w:val="20"/>
          <w:szCs w:val="20"/>
        </w:rPr>
        <w:t>Pairwise log-rank comparisons of 90-day survival across reasons for ICU admission</w:t>
      </w:r>
    </w:p>
    <w:tbl>
      <w:tblPr>
        <w:tblStyle w:val="ListeTablo2"/>
        <w:tblW w:w="9360" w:type="dxa"/>
        <w:shd w:val="clear" w:color="auto" w:fill="D9D9D9" w:themeFill="background1" w:themeFillShade="D9"/>
        <w:tblLook w:val="0000" w:firstRow="0" w:lastRow="0" w:firstColumn="0" w:lastColumn="0" w:noHBand="0" w:noVBand="0"/>
      </w:tblPr>
      <w:tblGrid>
        <w:gridCol w:w="4360"/>
        <w:gridCol w:w="1400"/>
        <w:gridCol w:w="1800"/>
        <w:gridCol w:w="1800"/>
      </w:tblGrid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χ²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Raw p-value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Bonferroni-corrected p-value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Acute respiratory failure vs. shock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Acute respiratory failure vs. postoperative monitoring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55.07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Acute respiratory failure vs. cerebrovascular disease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Acute respiratory failure vs. other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Shock vs. postoperative monitoring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47.13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Shock vs. cerebrovascular disease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Shock vs. other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Postoperative monitoring vs. cerebrovascular disease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19.43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D0AC5" w:rsidRPr="00D57A41" w:rsidTr="0052241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Postoperative monitoring vs. other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27.61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D0AC5" w:rsidRPr="00D57A41" w:rsidTr="00522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0" w:type="dxa"/>
            <w:shd w:val="clear" w:color="auto" w:fill="D9D9D9" w:themeFill="background1" w:themeFillShade="D9"/>
          </w:tcPr>
          <w:p w:rsidR="000D0AC5" w:rsidRPr="00D57A41" w:rsidRDefault="00D57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Cerebrovascular disease vs. other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D0AC5" w:rsidRPr="00D57A41" w:rsidRDefault="00D57A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7A4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</w:tbl>
    <w:p w:rsidR="000D0AC5" w:rsidRPr="00D57A41" w:rsidRDefault="00D57A41">
      <w:pPr>
        <w:spacing w:before="80" w:after="240"/>
        <w:rPr>
          <w:rFonts w:ascii="Times New Roman" w:hAnsi="Times New Roman" w:cs="Times New Roman"/>
          <w:sz w:val="20"/>
          <w:szCs w:val="20"/>
        </w:rPr>
      </w:pPr>
      <w:r w:rsidRPr="00D57A41">
        <w:rPr>
          <w:rFonts w:ascii="Times New Roman" w:hAnsi="Times New Roman" w:cs="Times New Roman"/>
          <w:i/>
          <w:iCs/>
          <w:sz w:val="20"/>
          <w:szCs w:val="20"/>
        </w:rPr>
        <w:t>Comparisons involving the postoperative monitoring group remained statistically significant after Bonferroni correction; all other pairwise comparisons were non-significant. χ², log-rank chi-square statistic.</w:t>
      </w:r>
    </w:p>
    <w:sectPr w:rsidR="000D0AC5" w:rsidRPr="00D57A4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A4990"/>
    <w:multiLevelType w:val="hybridMultilevel"/>
    <w:tmpl w:val="C8D67582"/>
    <w:lvl w:ilvl="0" w:tplc="5B7E6A9C">
      <w:start w:val="1"/>
      <w:numFmt w:val="bullet"/>
      <w:lvlText w:val="●"/>
      <w:lvlJc w:val="left"/>
      <w:pPr>
        <w:ind w:left="720" w:hanging="360"/>
      </w:pPr>
    </w:lvl>
    <w:lvl w:ilvl="1" w:tplc="4E128E00">
      <w:start w:val="1"/>
      <w:numFmt w:val="bullet"/>
      <w:lvlText w:val="○"/>
      <w:lvlJc w:val="left"/>
      <w:pPr>
        <w:ind w:left="1440" w:hanging="360"/>
      </w:pPr>
    </w:lvl>
    <w:lvl w:ilvl="2" w:tplc="02C47390">
      <w:start w:val="1"/>
      <w:numFmt w:val="bullet"/>
      <w:lvlText w:val="■"/>
      <w:lvlJc w:val="left"/>
      <w:pPr>
        <w:ind w:left="2160" w:hanging="360"/>
      </w:pPr>
    </w:lvl>
    <w:lvl w:ilvl="3" w:tplc="FB80FDA0">
      <w:start w:val="1"/>
      <w:numFmt w:val="bullet"/>
      <w:lvlText w:val="●"/>
      <w:lvlJc w:val="left"/>
      <w:pPr>
        <w:ind w:left="2880" w:hanging="360"/>
      </w:pPr>
    </w:lvl>
    <w:lvl w:ilvl="4" w:tplc="6E2891D8">
      <w:start w:val="1"/>
      <w:numFmt w:val="bullet"/>
      <w:lvlText w:val="○"/>
      <w:lvlJc w:val="left"/>
      <w:pPr>
        <w:ind w:left="3600" w:hanging="360"/>
      </w:pPr>
    </w:lvl>
    <w:lvl w:ilvl="5" w:tplc="8DFEE0C2">
      <w:start w:val="1"/>
      <w:numFmt w:val="bullet"/>
      <w:lvlText w:val="■"/>
      <w:lvlJc w:val="left"/>
      <w:pPr>
        <w:ind w:left="4320" w:hanging="360"/>
      </w:pPr>
    </w:lvl>
    <w:lvl w:ilvl="6" w:tplc="37566A40">
      <w:start w:val="1"/>
      <w:numFmt w:val="bullet"/>
      <w:lvlText w:val="●"/>
      <w:lvlJc w:val="left"/>
      <w:pPr>
        <w:ind w:left="5040" w:hanging="360"/>
      </w:pPr>
    </w:lvl>
    <w:lvl w:ilvl="7" w:tplc="7154174C">
      <w:start w:val="1"/>
      <w:numFmt w:val="bullet"/>
      <w:lvlText w:val="●"/>
      <w:lvlJc w:val="left"/>
      <w:pPr>
        <w:ind w:left="5760" w:hanging="360"/>
      </w:pPr>
    </w:lvl>
    <w:lvl w:ilvl="8" w:tplc="1AD00EF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C5"/>
    <w:rsid w:val="000D0AC5"/>
    <w:rsid w:val="0052241B"/>
    <w:rsid w:val="00D57A41"/>
    <w:rsid w:val="00E0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C74B6-6B06-45ED-9DF9-A6C0B3E3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qFormat/>
    <w:pPr>
      <w:spacing w:before="240" w:after="200"/>
      <w:outlineLvl w:val="0"/>
    </w:pPr>
    <w:rPr>
      <w:b/>
      <w:bCs/>
      <w:sz w:val="28"/>
      <w:szCs w:val="28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table" w:styleId="ListeTablo2">
    <w:name w:val="List Table 2"/>
    <w:basedOn w:val="NormalTablo"/>
    <w:uiPriority w:val="47"/>
    <w:rsid w:val="0052241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hesabı</cp:lastModifiedBy>
  <cp:revision>4</cp:revision>
  <dcterms:created xsi:type="dcterms:W3CDTF">2026-06-07T10:20:00Z</dcterms:created>
  <dcterms:modified xsi:type="dcterms:W3CDTF">2026-06-08T06:14:00Z</dcterms:modified>
</cp:coreProperties>
</file>