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186EF" w14:textId="121903F1" w:rsidR="00361FAC" w:rsidRPr="0071560B" w:rsidRDefault="00000000" w:rsidP="004F292B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Supplementary Table 1</w:t>
      </w:r>
      <w:r>
        <w:rPr>
          <w:rFonts w:ascii="Times New Roman" w:hAnsi="Times New Roman" w:cs="Times New Roman"/>
          <w:b/>
          <w:bCs/>
          <w:sz w:val="24"/>
        </w:rPr>
        <w:t>. Subgroup Analysis by Karyotype in the GHT-Treated Group</w:t>
      </w:r>
    </w:p>
    <w:tbl>
      <w:tblPr>
        <w:tblW w:w="87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2820"/>
        <w:gridCol w:w="1080"/>
      </w:tblGrid>
      <w:tr w:rsidR="0071560B" w:rsidRPr="0071560B" w14:paraId="1B5CA580" w14:textId="77777777" w:rsidTr="0071560B">
        <w:trPr>
          <w:trHeight w:val="595"/>
        </w:trPr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89E471A" w14:textId="4FC94AD1" w:rsidR="0071560B" w:rsidRPr="0071560B" w:rsidRDefault="0071560B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</w:rPr>
              <w:t>Parameter (</w:t>
            </w: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2"/>
              </w:rPr>
              <w:t>Δ</w:t>
            </w:r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</w:rPr>
              <w:t xml:space="preserve"> change)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E75D777" w14:textId="7E0DF8FF" w:rsidR="0071560B" w:rsidRPr="0071560B" w:rsidRDefault="0071560B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proofErr w:type="gramStart"/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</w:rPr>
              <w:t>45,X</w:t>
            </w:r>
            <w:proofErr w:type="gramEnd"/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</w:rPr>
              <w:t xml:space="preserve"> (Monosomy)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50D2FB9" w14:textId="37928E3D" w:rsidR="0071560B" w:rsidRPr="0071560B" w:rsidRDefault="0071560B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</w:rPr>
              <w:t>Mosaicism &amp; others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2F6C79D" w14:textId="1FA2B857" w:rsidR="0071560B" w:rsidRPr="0071560B" w:rsidRDefault="0071560B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2"/>
              </w:rPr>
            </w:pPr>
            <w:r>
              <w:rPr>
                <w:rFonts w:ascii="Times New Roman" w:eastAsia="굴림" w:hAnsi="Times New Roman" w:cs="Times New Roman"/>
                <w:i/>
                <w:iCs/>
                <w:color w:val="1F1F1F"/>
                <w:kern w:val="0"/>
                <w:szCs w:val="22"/>
              </w:rPr>
              <w:t>P</w:t>
            </w:r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</w:rPr>
              <w:t>-value</w:t>
            </w:r>
          </w:p>
        </w:tc>
      </w:tr>
      <w:tr w:rsidR="0071560B" w:rsidRPr="0071560B" w14:paraId="3B0806E0" w14:textId="77777777" w:rsidTr="0071560B">
        <w:trPr>
          <w:trHeight w:val="46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35772" w14:textId="784822BE" w:rsidR="0071560B" w:rsidRPr="0071560B" w:rsidRDefault="0071560B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2"/>
              </w:rPr>
              <w:t>Δ</w:t>
            </w:r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</w:rPr>
              <w:t xml:space="preserve"> Height Z-score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57631" w14:textId="79165C53" w:rsidR="0071560B" w:rsidRPr="0071560B" w:rsidRDefault="0071560B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</w:rPr>
              <w:t>+0.70 [0.30; 0.95]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09B39" w14:textId="0C678012" w:rsidR="0071560B" w:rsidRPr="0071560B" w:rsidRDefault="0071560B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</w:rPr>
              <w:t>+0.90 [0.45; 1.25]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799E7" w14:textId="4086A6B1" w:rsidR="0071560B" w:rsidRPr="0071560B" w:rsidRDefault="0071560B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</w:rPr>
              <w:t>0.062</w:t>
            </w:r>
          </w:p>
        </w:tc>
      </w:tr>
      <w:tr w:rsidR="0071560B" w:rsidRPr="0071560B" w14:paraId="78EA03F9" w14:textId="77777777" w:rsidTr="0071560B">
        <w:trPr>
          <w:trHeight w:val="4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1594F" w14:textId="0269C5AB" w:rsidR="0071560B" w:rsidRPr="0071560B" w:rsidRDefault="0071560B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2"/>
              </w:rPr>
              <w:t>Δ</w:t>
            </w:r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  <w:lang w:val="de-DE"/>
              </w:rPr>
              <w:t xml:space="preserve"> HDL-C (mg/dL)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002BA" w14:textId="69E0C892" w:rsidR="0071560B" w:rsidRPr="0071560B" w:rsidRDefault="0071560B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</w:rPr>
              <w:t>+9.0 [2.0; 15.0]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A9433" w14:textId="79A8F812" w:rsidR="0071560B" w:rsidRPr="0071560B" w:rsidRDefault="0071560B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</w:rPr>
              <w:t>+2.0 [-3.0; 8.0]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353C0" w14:textId="08B599EA" w:rsidR="0071560B" w:rsidRPr="0071560B" w:rsidRDefault="0071560B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</w:rPr>
              <w:t>0.724</w:t>
            </w:r>
          </w:p>
        </w:tc>
      </w:tr>
      <w:tr w:rsidR="0071560B" w:rsidRPr="0071560B" w14:paraId="42EE7E61" w14:textId="77777777" w:rsidTr="0071560B">
        <w:trPr>
          <w:trHeight w:val="450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E974658" w14:textId="2ED0E14D" w:rsidR="0071560B" w:rsidRPr="0071560B" w:rsidRDefault="0071560B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2"/>
              </w:rPr>
              <w:t>Δ</w:t>
            </w:r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</w:rPr>
              <w:t xml:space="preserve"> ALT (U/L)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932941" w14:textId="6F7B82F2" w:rsidR="0071560B" w:rsidRPr="0071560B" w:rsidRDefault="0071560B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</w:rPr>
              <w:t>-1.0 [-6.0; +3.0]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F7E37B1" w14:textId="6241B9F5" w:rsidR="0071560B" w:rsidRPr="0071560B" w:rsidRDefault="0071560B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</w:rPr>
              <w:t>-2.0 [-8.0; +1.0]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D620A7D" w14:textId="39DE4FAB" w:rsidR="0071560B" w:rsidRPr="0071560B" w:rsidRDefault="0071560B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>
              <w:rPr>
                <w:rFonts w:ascii="Times New Roman" w:eastAsia="굴림" w:hAnsi="Times New Roman" w:cs="Times New Roman"/>
                <w:color w:val="1F1F1F"/>
                <w:kern w:val="0"/>
                <w:szCs w:val="22"/>
              </w:rPr>
              <w:t>0.446</w:t>
            </w:r>
          </w:p>
        </w:tc>
      </w:tr>
    </w:tbl>
    <w:p w14:paraId="0D826EBC" w14:textId="77777777" w:rsidR="00361FAC" w:rsidRDefault="00000000" w:rsidP="004F292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Data are expressed as median [interquartile range].</w:t>
      </w:r>
    </w:p>
    <w:p w14:paraId="5FDECD4E" w14:textId="77777777" w:rsidR="00361FAC" w:rsidRDefault="00000000" w:rsidP="004F292B">
      <w:pPr>
        <w:rPr>
          <w:rFonts w:ascii="Times New Roman" w:hAnsi="Times New Roman" w:cs="Times New Roman"/>
          <w:sz w:val="24"/>
        </w:rPr>
      </w:pPr>
      <w:r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cs="Times New Roman"/>
          <w:sz w:val="24"/>
        </w:rPr>
        <w:t>-values were calculated using the Mann-Whitney U test, comparing the changes (</w:t>
      </w:r>
      <w:r>
        <w:rPr>
          <w:rFonts w:ascii="Times New Roman" w:eastAsia="맑은 고딕" w:hAnsi="Times New Roman" w:cs="Times New Roman"/>
          <w:i/>
          <w:iCs/>
          <w:color w:val="000000"/>
          <w:kern w:val="0"/>
          <w:szCs w:val="22"/>
        </w:rPr>
        <w:t>Δ</w:t>
      </w:r>
      <w:r>
        <w:rPr>
          <w:rFonts w:ascii="Times New Roman" w:hAnsi="Times New Roman" w:cs="Times New Roman"/>
          <w:sz w:val="24"/>
        </w:rPr>
        <w:t>) from baseline between the 45,X (monosomy) and mosaicism/other structural abnormalities subgroups.</w:t>
      </w:r>
    </w:p>
    <w:p w14:paraId="01770D38" w14:textId="77777777" w:rsidR="00361FAC" w:rsidRDefault="00000000" w:rsidP="004F292B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Abbreviations: GHT, growth hormone therapy; HDL-C, high-density lipoprotein cholesterol; ALT, alanine aminotransferase.</w:t>
      </w:r>
    </w:p>
    <w:p w14:paraId="4F42D5B0" w14:textId="77777777" w:rsidR="00361FAC" w:rsidRDefault="00361FAC" w:rsidP="004F292B">
      <w:pPr>
        <w:rPr>
          <w:rFonts w:ascii="Times New Roman" w:hAnsi="Times New Roman" w:cs="Times New Roman"/>
          <w:b/>
          <w:bCs/>
          <w:sz w:val="24"/>
        </w:rPr>
      </w:pPr>
    </w:p>
    <w:p w14:paraId="520CB18E" w14:textId="77777777" w:rsidR="00361FAC" w:rsidRDefault="00000000" w:rsidP="004F292B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Supplementary Table 2</w:t>
      </w:r>
      <w:r>
        <w:rPr>
          <w:rFonts w:ascii="Times New Roman" w:hAnsi="Times New Roman" w:cs="Times New Roman"/>
          <w:b/>
          <w:bCs/>
          <w:sz w:val="24"/>
        </w:rPr>
        <w:t>. Detailed Metabolic Outcomes by GH Treatment Duration</w:t>
      </w:r>
    </w:p>
    <w:tbl>
      <w:tblPr>
        <w:tblW w:w="87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2820"/>
        <w:gridCol w:w="1080"/>
      </w:tblGrid>
      <w:tr w:rsidR="00361FAC" w:rsidRPr="0071560B" w14:paraId="3E838E41" w14:textId="77777777" w:rsidTr="0071560B">
        <w:trPr>
          <w:trHeight w:val="595"/>
        </w:trPr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C047A1D" w14:textId="77777777" w:rsidR="00361FAC" w:rsidRPr="0071560B" w:rsidRDefault="00000000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 w:rsidRPr="0071560B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  <w:t>Parameter (Δ change)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2CD8918" w14:textId="77777777" w:rsidR="00361FAC" w:rsidRPr="0071560B" w:rsidRDefault="00000000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 w:rsidRPr="0071560B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  <w:t>&lt; 2 years (n=18)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114067" w14:textId="77777777" w:rsidR="00361FAC" w:rsidRPr="0071560B" w:rsidRDefault="00000000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 w:rsidRPr="0071560B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  <w:t>≥ 2 years (n=78)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E06B5C" w14:textId="77777777" w:rsidR="00361FAC" w:rsidRPr="0071560B" w:rsidRDefault="00000000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 w:rsidRPr="0071560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2"/>
              </w:rPr>
              <w:t>P</w:t>
            </w:r>
            <w:r w:rsidRPr="0071560B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  <w:t>-value</w:t>
            </w:r>
          </w:p>
        </w:tc>
      </w:tr>
      <w:tr w:rsidR="00361FAC" w:rsidRPr="0071560B" w14:paraId="101DB838" w14:textId="77777777">
        <w:trPr>
          <w:trHeight w:val="46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51852" w14:textId="77777777" w:rsidR="00361FAC" w:rsidRPr="0071560B" w:rsidRDefault="00000000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 w:rsidRPr="0071560B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  <w:t>Δ LDL-C (mg/dL)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2F148" w14:textId="77777777" w:rsidR="00361FAC" w:rsidRPr="0071560B" w:rsidRDefault="00000000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 w:rsidRPr="0071560B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  <w:t>-8.0 [-22.0; 4.0]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F3BCA" w14:textId="77777777" w:rsidR="00361FAC" w:rsidRPr="0071560B" w:rsidRDefault="00000000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 w:rsidRPr="0071560B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  <w:t>-14.5 [-28.0; 6.0]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565C2" w14:textId="77777777" w:rsidR="00361FAC" w:rsidRPr="0071560B" w:rsidRDefault="00000000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 w:rsidRPr="0071560B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  <w:t>0.342</w:t>
            </w:r>
          </w:p>
        </w:tc>
      </w:tr>
      <w:tr w:rsidR="00361FAC" w:rsidRPr="0071560B" w14:paraId="0DC6C847" w14:textId="77777777">
        <w:trPr>
          <w:trHeight w:val="4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0EFAB" w14:textId="77777777" w:rsidR="00361FAC" w:rsidRPr="0071560B" w:rsidRDefault="00000000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 w:rsidRPr="0071560B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  <w:t>Δ HDL-C (mg/dL)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75D37" w14:textId="77777777" w:rsidR="00361FAC" w:rsidRPr="0071560B" w:rsidRDefault="00000000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 w:rsidRPr="0071560B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  <w:t>+4.5 [0.5; 12.0]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00EF9" w14:textId="77777777" w:rsidR="00361FAC" w:rsidRPr="0071560B" w:rsidRDefault="00000000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 w:rsidRPr="0071560B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  <w:t>+5.0 [-1.5; 15.0]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B5A5E" w14:textId="77777777" w:rsidR="00361FAC" w:rsidRPr="0071560B" w:rsidRDefault="00000000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 w:rsidRPr="0071560B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  <w:t>0.612</w:t>
            </w:r>
          </w:p>
        </w:tc>
      </w:tr>
      <w:tr w:rsidR="00361FAC" w:rsidRPr="0071560B" w14:paraId="584B456B" w14:textId="77777777">
        <w:trPr>
          <w:trHeight w:val="450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DFE1680" w14:textId="77777777" w:rsidR="00361FAC" w:rsidRPr="0071560B" w:rsidRDefault="00000000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 w:rsidRPr="0071560B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  <w:t>Δ Height Z-score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7B1E3A6" w14:textId="77777777" w:rsidR="00361FAC" w:rsidRPr="0071560B" w:rsidRDefault="00000000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 w:rsidRPr="0071560B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  <w:t>+0.65 [0.32; 0.95]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E772528" w14:textId="77777777" w:rsidR="00361FAC" w:rsidRPr="0071560B" w:rsidRDefault="00000000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 w:rsidRPr="0071560B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  <w:t>+1.28 [0.85; 1.82]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D93ECD" w14:textId="77777777" w:rsidR="00361FAC" w:rsidRPr="0071560B" w:rsidRDefault="00000000" w:rsidP="004F292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</w:pPr>
            <w:r w:rsidRPr="0071560B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</w:rPr>
              <w:t>&lt; 0.001</w:t>
            </w:r>
          </w:p>
        </w:tc>
      </w:tr>
    </w:tbl>
    <w:p w14:paraId="1F0595BD" w14:textId="77777777" w:rsidR="00361FAC" w:rsidRDefault="00000000" w:rsidP="004F292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Data are expressed as median [interquartile range].</w:t>
      </w:r>
    </w:p>
    <w:p w14:paraId="344E391F" w14:textId="77777777" w:rsidR="00361FAC" w:rsidRDefault="00000000" w:rsidP="004F292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>-values were calculated using the Mann-Whitney U test, comparing the changes (</w:t>
      </w:r>
      <w:r>
        <w:rPr>
          <w:rFonts w:ascii="Times New Roman" w:eastAsia="맑은 고딕" w:hAnsi="Times New Roman" w:cs="Times New Roman"/>
          <w:i/>
          <w:iCs/>
          <w:color w:val="000000"/>
          <w:kern w:val="0"/>
          <w:szCs w:val="22"/>
        </w:rPr>
        <w:t>Δ</w:t>
      </w:r>
      <w:r>
        <w:rPr>
          <w:rFonts w:ascii="Times New Roman" w:hAnsi="Times New Roman" w:cs="Times New Roman"/>
          <w:sz w:val="24"/>
        </w:rPr>
        <w:t>) from baseline between the short-term (&lt; 2 years) and long-term (</w:t>
      </w:r>
      <w:r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</w:rPr>
        <w:t>≥</w:t>
      </w:r>
      <w:r>
        <w:rPr>
          <w:rFonts w:ascii="Times New Roman" w:hAnsi="Times New Roman" w:cs="Times New Roman"/>
          <w:sz w:val="24"/>
        </w:rPr>
        <w:t xml:space="preserve"> 2 years) treatment groups.</w:t>
      </w:r>
    </w:p>
    <w:p w14:paraId="37F21C59" w14:textId="77777777" w:rsidR="00361FAC" w:rsidRDefault="00000000" w:rsidP="004F292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Abbreviations: GH, growth hormone; LDL-C, low-density lipoprotein cholesterol; HDL-C, high-density lipoprotein cholesterol.</w:t>
      </w:r>
    </w:p>
    <w:p w14:paraId="5E36641D" w14:textId="77777777" w:rsidR="00361FAC" w:rsidRDefault="00361FAC" w:rsidP="004F292B">
      <w:pPr>
        <w:rPr>
          <w:rFonts w:ascii="Times New Roman" w:hAnsi="Times New Roman" w:cs="Times New Roman"/>
          <w:sz w:val="24"/>
        </w:rPr>
      </w:pPr>
    </w:p>
    <w:p w14:paraId="036B1E95" w14:textId="43DD498B" w:rsidR="004F292B" w:rsidRDefault="004F292B" w:rsidP="004F292B">
      <w:pPr>
        <w:rPr>
          <w:rFonts w:ascii="Times New Roman" w:hAnsi="Times New Roman" w:cs="Times New Roman"/>
          <w:b/>
          <w:bCs/>
          <w:sz w:val="24"/>
        </w:rPr>
      </w:pPr>
      <w:r w:rsidRPr="004F292B"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 w:rsidR="004116E6">
        <w:rPr>
          <w:rFonts w:ascii="Times New Roman" w:hAnsi="Times New Roman" w:cs="Times New Roman" w:hint="eastAsia"/>
          <w:b/>
          <w:bCs/>
          <w:sz w:val="24"/>
        </w:rPr>
        <w:t>3</w:t>
      </w:r>
      <w:r>
        <w:rPr>
          <w:rFonts w:ascii="Times New Roman" w:hAnsi="Times New Roman" w:cs="Times New Roman" w:hint="eastAsia"/>
          <w:sz w:val="24"/>
        </w:rPr>
        <w:t>.</w:t>
      </w:r>
      <w:r w:rsidRPr="004F292B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4F292B">
        <w:rPr>
          <w:rFonts w:ascii="Times New Roman" w:hAnsi="Times New Roman" w:cs="Times New Roman"/>
          <w:b/>
          <w:bCs/>
          <w:sz w:val="24"/>
        </w:rPr>
        <w:t>Multivariable adjusted analyses for changes in individual lipid fractions</w:t>
      </w:r>
    </w:p>
    <w:p w14:paraId="0800FEF3" w14:textId="77777777" w:rsidR="004F292B" w:rsidRDefault="004F292B" w:rsidP="004F292B">
      <w:pPr>
        <w:rPr>
          <w:rFonts w:ascii="Times New Roman" w:hAnsi="Times New Roman" w:cs="Times New Roman"/>
          <w:sz w:val="24"/>
        </w:rPr>
      </w:pPr>
    </w:p>
    <w:p w14:paraId="18CFBE55" w14:textId="31A0FC6F" w:rsidR="004F292B" w:rsidRDefault="004F292B" w:rsidP="004F292B">
      <w:pPr>
        <w:rPr>
          <w:rFonts w:ascii="Times New Roman" w:hAnsi="Times New Roman" w:cs="Times New Roman"/>
          <w:sz w:val="24"/>
        </w:rPr>
      </w:pPr>
      <w:r w:rsidRPr="004F292B">
        <w:rPr>
          <w:rFonts w:ascii="Times New Roman" w:hAnsi="Times New Roman" w:cs="Times New Roman"/>
          <w:sz w:val="24"/>
        </w:rPr>
        <w:t>Panel A. Delta model: change from baseline to follow-up</w:t>
      </w:r>
    </w:p>
    <w:tbl>
      <w:tblPr>
        <w:tblStyle w:val="af"/>
        <w:tblW w:w="9016" w:type="dxa"/>
        <w:tblLook w:val="04A0" w:firstRow="1" w:lastRow="0" w:firstColumn="1" w:lastColumn="0" w:noHBand="0" w:noVBand="1"/>
      </w:tblPr>
      <w:tblGrid>
        <w:gridCol w:w="1126"/>
        <w:gridCol w:w="1126"/>
        <w:gridCol w:w="1127"/>
        <w:gridCol w:w="1127"/>
        <w:gridCol w:w="1129"/>
        <w:gridCol w:w="1127"/>
        <w:gridCol w:w="1127"/>
        <w:gridCol w:w="1127"/>
      </w:tblGrid>
      <w:tr w:rsidR="004F292B" w:rsidRPr="004F292B" w14:paraId="6D34ACC6" w14:textId="77777777" w:rsidTr="004F292B">
        <w:tc>
          <w:tcPr>
            <w:tcW w:w="1126" w:type="dxa"/>
            <w:vAlign w:val="center"/>
          </w:tcPr>
          <w:p w14:paraId="65DA7501" w14:textId="0C5F1C9E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b/>
                <w:sz w:val="20"/>
                <w:szCs w:val="20"/>
              </w:rPr>
              <w:t>Outcome</w:t>
            </w:r>
          </w:p>
        </w:tc>
        <w:tc>
          <w:tcPr>
            <w:tcW w:w="1126" w:type="dxa"/>
            <w:vAlign w:val="center"/>
          </w:tcPr>
          <w:p w14:paraId="08C793F0" w14:textId="37D9957E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b/>
                <w:sz w:val="20"/>
                <w:szCs w:val="20"/>
              </w:rPr>
              <w:t>Model</w:t>
            </w:r>
          </w:p>
        </w:tc>
        <w:tc>
          <w:tcPr>
            <w:tcW w:w="1127" w:type="dxa"/>
            <w:vAlign w:val="center"/>
          </w:tcPr>
          <w:p w14:paraId="6B83193B" w14:textId="3148D02D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127" w:type="dxa"/>
            <w:vAlign w:val="center"/>
          </w:tcPr>
          <w:p w14:paraId="1F6BCB5F" w14:textId="51671A2D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b/>
                <w:sz w:val="20"/>
                <w:szCs w:val="20"/>
              </w:rPr>
              <w:t>GHT, n</w:t>
            </w:r>
          </w:p>
        </w:tc>
        <w:tc>
          <w:tcPr>
            <w:tcW w:w="1129" w:type="dxa"/>
            <w:vAlign w:val="center"/>
          </w:tcPr>
          <w:p w14:paraId="0565B463" w14:textId="7B64034A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b/>
                <w:sz w:val="20"/>
                <w:szCs w:val="20"/>
              </w:rPr>
              <w:t>Untreated, n</w:t>
            </w:r>
          </w:p>
        </w:tc>
        <w:tc>
          <w:tcPr>
            <w:tcW w:w="1127" w:type="dxa"/>
            <w:vAlign w:val="center"/>
          </w:tcPr>
          <w:p w14:paraId="29C5E846" w14:textId="46DF3102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b/>
                <w:sz w:val="20"/>
                <w:szCs w:val="20"/>
              </w:rPr>
              <w:t>β for GHT vs untreated</w:t>
            </w:r>
          </w:p>
        </w:tc>
        <w:tc>
          <w:tcPr>
            <w:tcW w:w="1127" w:type="dxa"/>
            <w:vAlign w:val="center"/>
          </w:tcPr>
          <w:p w14:paraId="286C82A6" w14:textId="7B67EEC4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b/>
                <w:sz w:val="20"/>
                <w:szCs w:val="20"/>
              </w:rPr>
              <w:t>95% CI</w:t>
            </w:r>
          </w:p>
        </w:tc>
        <w:tc>
          <w:tcPr>
            <w:tcW w:w="1127" w:type="dxa"/>
            <w:vAlign w:val="center"/>
          </w:tcPr>
          <w:p w14:paraId="65DCDD24" w14:textId="5D3FDB9F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4F292B" w:rsidRPr="004F292B" w14:paraId="188DA573" w14:textId="77777777" w:rsidTr="004F292B">
        <w:tc>
          <w:tcPr>
            <w:tcW w:w="1126" w:type="dxa"/>
            <w:vAlign w:val="center"/>
          </w:tcPr>
          <w:p w14:paraId="12B9927E" w14:textId="75D95DDE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LDL-C</w:t>
            </w:r>
          </w:p>
        </w:tc>
        <w:tc>
          <w:tcPr>
            <w:tcW w:w="1126" w:type="dxa"/>
            <w:vAlign w:val="center"/>
          </w:tcPr>
          <w:p w14:paraId="7435BA12" w14:textId="2EF2F833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Delta model</w:t>
            </w:r>
          </w:p>
        </w:tc>
        <w:tc>
          <w:tcPr>
            <w:tcW w:w="1127" w:type="dxa"/>
            <w:vAlign w:val="center"/>
          </w:tcPr>
          <w:p w14:paraId="4C303D9F" w14:textId="3A287B65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27" w:type="dxa"/>
            <w:vAlign w:val="center"/>
          </w:tcPr>
          <w:p w14:paraId="71B8EAFB" w14:textId="3E129461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29" w:type="dxa"/>
            <w:vAlign w:val="center"/>
          </w:tcPr>
          <w:p w14:paraId="5E1B8070" w14:textId="69D31A0A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27" w:type="dxa"/>
            <w:vAlign w:val="center"/>
          </w:tcPr>
          <w:p w14:paraId="601B4032" w14:textId="629AD270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-7.73</w:t>
            </w:r>
          </w:p>
        </w:tc>
        <w:tc>
          <w:tcPr>
            <w:tcW w:w="1127" w:type="dxa"/>
            <w:vAlign w:val="center"/>
          </w:tcPr>
          <w:p w14:paraId="107AB381" w14:textId="68880699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-37.09 to 21.64</w:t>
            </w:r>
          </w:p>
        </w:tc>
        <w:tc>
          <w:tcPr>
            <w:tcW w:w="1127" w:type="dxa"/>
            <w:vAlign w:val="center"/>
          </w:tcPr>
          <w:p w14:paraId="4E452092" w14:textId="45721BB6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0.602</w:t>
            </w:r>
          </w:p>
        </w:tc>
      </w:tr>
      <w:tr w:rsidR="004F292B" w:rsidRPr="004F292B" w14:paraId="036F76AB" w14:textId="77777777" w:rsidTr="004F292B">
        <w:tc>
          <w:tcPr>
            <w:tcW w:w="1126" w:type="dxa"/>
            <w:vAlign w:val="center"/>
          </w:tcPr>
          <w:p w14:paraId="7E8CF608" w14:textId="459DDFD2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HDL-C</w:t>
            </w:r>
          </w:p>
        </w:tc>
        <w:tc>
          <w:tcPr>
            <w:tcW w:w="1126" w:type="dxa"/>
            <w:vAlign w:val="center"/>
          </w:tcPr>
          <w:p w14:paraId="00C78EF1" w14:textId="54A058CC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Delta model</w:t>
            </w:r>
          </w:p>
        </w:tc>
        <w:tc>
          <w:tcPr>
            <w:tcW w:w="1127" w:type="dxa"/>
            <w:vAlign w:val="center"/>
          </w:tcPr>
          <w:p w14:paraId="02C354C0" w14:textId="267B7E53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127" w:type="dxa"/>
            <w:vAlign w:val="center"/>
          </w:tcPr>
          <w:p w14:paraId="1A96E8C6" w14:textId="6AAA056D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29" w:type="dxa"/>
            <w:vAlign w:val="center"/>
          </w:tcPr>
          <w:p w14:paraId="2A6CBA8D" w14:textId="179F072F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27" w:type="dxa"/>
            <w:vAlign w:val="center"/>
          </w:tcPr>
          <w:p w14:paraId="283D6A69" w14:textId="4AE34EB8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-2.22</w:t>
            </w:r>
          </w:p>
        </w:tc>
        <w:tc>
          <w:tcPr>
            <w:tcW w:w="1127" w:type="dxa"/>
            <w:vAlign w:val="center"/>
          </w:tcPr>
          <w:p w14:paraId="5727FC4C" w14:textId="0D4FCEF9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-9.84 to 5.41</w:t>
            </w:r>
          </w:p>
        </w:tc>
        <w:tc>
          <w:tcPr>
            <w:tcW w:w="1127" w:type="dxa"/>
            <w:vAlign w:val="center"/>
          </w:tcPr>
          <w:p w14:paraId="3406D001" w14:textId="49C3F009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0.566</w:t>
            </w:r>
          </w:p>
        </w:tc>
      </w:tr>
      <w:tr w:rsidR="004F292B" w:rsidRPr="004F292B" w14:paraId="20F0B245" w14:textId="77777777" w:rsidTr="004F292B">
        <w:tc>
          <w:tcPr>
            <w:tcW w:w="1126" w:type="dxa"/>
            <w:vAlign w:val="center"/>
          </w:tcPr>
          <w:p w14:paraId="6EC24088" w14:textId="7CDC7157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Non-HDL-C</w:t>
            </w:r>
          </w:p>
        </w:tc>
        <w:tc>
          <w:tcPr>
            <w:tcW w:w="1126" w:type="dxa"/>
            <w:vAlign w:val="center"/>
          </w:tcPr>
          <w:p w14:paraId="2D32A189" w14:textId="2FF52246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Delta model</w:t>
            </w:r>
          </w:p>
        </w:tc>
        <w:tc>
          <w:tcPr>
            <w:tcW w:w="1127" w:type="dxa"/>
            <w:vAlign w:val="center"/>
          </w:tcPr>
          <w:p w14:paraId="0A6BCFA0" w14:textId="6A30A115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127" w:type="dxa"/>
            <w:vAlign w:val="center"/>
          </w:tcPr>
          <w:p w14:paraId="6508F235" w14:textId="66A091AC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29" w:type="dxa"/>
            <w:vAlign w:val="center"/>
          </w:tcPr>
          <w:p w14:paraId="2340C73A" w14:textId="390154AB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27" w:type="dxa"/>
            <w:vAlign w:val="center"/>
          </w:tcPr>
          <w:p w14:paraId="0727CC19" w14:textId="0319EE27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-9.84</w:t>
            </w:r>
          </w:p>
        </w:tc>
        <w:tc>
          <w:tcPr>
            <w:tcW w:w="1127" w:type="dxa"/>
            <w:vAlign w:val="center"/>
          </w:tcPr>
          <w:p w14:paraId="1CCD8E43" w14:textId="14D21354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-28.97 to 9.29</w:t>
            </w:r>
          </w:p>
        </w:tc>
        <w:tc>
          <w:tcPr>
            <w:tcW w:w="1127" w:type="dxa"/>
            <w:vAlign w:val="center"/>
          </w:tcPr>
          <w:p w14:paraId="14D75624" w14:textId="5A3C4A18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0.310</w:t>
            </w:r>
          </w:p>
        </w:tc>
      </w:tr>
    </w:tbl>
    <w:p w14:paraId="5D68A16C" w14:textId="77777777" w:rsidR="004F292B" w:rsidRPr="004F292B" w:rsidRDefault="004F292B" w:rsidP="004F292B">
      <w:pPr>
        <w:rPr>
          <w:rFonts w:ascii="Times New Roman" w:hAnsi="Times New Roman" w:cs="Times New Roman"/>
          <w:sz w:val="24"/>
        </w:rPr>
      </w:pPr>
    </w:p>
    <w:p w14:paraId="41E62332" w14:textId="77777777" w:rsidR="004F292B" w:rsidRPr="004F292B" w:rsidRDefault="004F292B" w:rsidP="004F292B">
      <w:pPr>
        <w:rPr>
          <w:rFonts w:ascii="Times New Roman" w:hAnsi="Times New Roman" w:cs="Times New Roman"/>
          <w:sz w:val="24"/>
        </w:rPr>
      </w:pPr>
      <w:r w:rsidRPr="004F292B">
        <w:rPr>
          <w:rFonts w:ascii="Times New Roman" w:hAnsi="Times New Roman" w:cs="Times New Roman"/>
          <w:sz w:val="24"/>
        </w:rPr>
        <w:t>Panel B. ANCOVA model: follow-up value adjusted for baseline value</w:t>
      </w:r>
    </w:p>
    <w:tbl>
      <w:tblPr>
        <w:tblStyle w:val="af"/>
        <w:tblW w:w="9016" w:type="dxa"/>
        <w:tblLook w:val="04A0" w:firstRow="1" w:lastRow="0" w:firstColumn="1" w:lastColumn="0" w:noHBand="0" w:noVBand="1"/>
      </w:tblPr>
      <w:tblGrid>
        <w:gridCol w:w="1126"/>
        <w:gridCol w:w="1127"/>
        <w:gridCol w:w="1126"/>
        <w:gridCol w:w="1127"/>
        <w:gridCol w:w="1129"/>
        <w:gridCol w:w="1127"/>
        <w:gridCol w:w="1127"/>
        <w:gridCol w:w="1127"/>
      </w:tblGrid>
      <w:tr w:rsidR="004F292B" w:rsidRPr="004F292B" w14:paraId="3950E74B" w14:textId="77777777" w:rsidTr="004A7D0C">
        <w:tc>
          <w:tcPr>
            <w:tcW w:w="1127" w:type="dxa"/>
            <w:vAlign w:val="center"/>
          </w:tcPr>
          <w:p w14:paraId="32081943" w14:textId="351D3744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b/>
                <w:sz w:val="20"/>
                <w:szCs w:val="20"/>
              </w:rPr>
              <w:t>Outcome</w:t>
            </w:r>
          </w:p>
        </w:tc>
        <w:tc>
          <w:tcPr>
            <w:tcW w:w="1127" w:type="dxa"/>
            <w:vAlign w:val="center"/>
          </w:tcPr>
          <w:p w14:paraId="7BBDE47F" w14:textId="2BDDDECD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b/>
                <w:sz w:val="20"/>
                <w:szCs w:val="20"/>
              </w:rPr>
              <w:t>Model</w:t>
            </w:r>
          </w:p>
        </w:tc>
        <w:tc>
          <w:tcPr>
            <w:tcW w:w="1127" w:type="dxa"/>
            <w:vAlign w:val="center"/>
          </w:tcPr>
          <w:p w14:paraId="3EF3CF14" w14:textId="4DD2735A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127" w:type="dxa"/>
            <w:vAlign w:val="center"/>
          </w:tcPr>
          <w:p w14:paraId="2A5BFE52" w14:textId="22E49F15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b/>
                <w:sz w:val="20"/>
                <w:szCs w:val="20"/>
              </w:rPr>
              <w:t>GHT, n</w:t>
            </w:r>
          </w:p>
        </w:tc>
        <w:tc>
          <w:tcPr>
            <w:tcW w:w="1127" w:type="dxa"/>
            <w:vAlign w:val="center"/>
          </w:tcPr>
          <w:p w14:paraId="26385147" w14:textId="1B0BFC8D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b/>
                <w:sz w:val="20"/>
                <w:szCs w:val="20"/>
              </w:rPr>
              <w:t>Untreated, n</w:t>
            </w:r>
          </w:p>
        </w:tc>
        <w:tc>
          <w:tcPr>
            <w:tcW w:w="1127" w:type="dxa"/>
            <w:vAlign w:val="center"/>
          </w:tcPr>
          <w:p w14:paraId="5992E131" w14:textId="16C8B468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b/>
                <w:sz w:val="20"/>
                <w:szCs w:val="20"/>
              </w:rPr>
              <w:t>β for GHT vs untreated</w:t>
            </w:r>
          </w:p>
        </w:tc>
        <w:tc>
          <w:tcPr>
            <w:tcW w:w="1127" w:type="dxa"/>
            <w:vAlign w:val="center"/>
          </w:tcPr>
          <w:p w14:paraId="72D5EAD1" w14:textId="064770A6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b/>
                <w:sz w:val="20"/>
                <w:szCs w:val="20"/>
              </w:rPr>
              <w:t>95% CI</w:t>
            </w:r>
          </w:p>
        </w:tc>
        <w:tc>
          <w:tcPr>
            <w:tcW w:w="1127" w:type="dxa"/>
            <w:vAlign w:val="center"/>
          </w:tcPr>
          <w:p w14:paraId="139E41D9" w14:textId="47CBDCEE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4F292B" w:rsidRPr="004F292B" w14:paraId="7F06D680" w14:textId="77777777" w:rsidTr="004A7D0C">
        <w:tc>
          <w:tcPr>
            <w:tcW w:w="1127" w:type="dxa"/>
            <w:vAlign w:val="center"/>
          </w:tcPr>
          <w:p w14:paraId="6FC5EA55" w14:textId="35BA7567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LDL-C</w:t>
            </w:r>
          </w:p>
        </w:tc>
        <w:tc>
          <w:tcPr>
            <w:tcW w:w="1127" w:type="dxa"/>
            <w:vAlign w:val="center"/>
          </w:tcPr>
          <w:p w14:paraId="16BBA0AA" w14:textId="473137B9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ANCOVA</w:t>
            </w:r>
          </w:p>
        </w:tc>
        <w:tc>
          <w:tcPr>
            <w:tcW w:w="1127" w:type="dxa"/>
            <w:vAlign w:val="center"/>
          </w:tcPr>
          <w:p w14:paraId="370F4EE2" w14:textId="40BB0C9A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27" w:type="dxa"/>
            <w:vAlign w:val="center"/>
          </w:tcPr>
          <w:p w14:paraId="6152059F" w14:textId="2D68DB4F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27" w:type="dxa"/>
            <w:vAlign w:val="center"/>
          </w:tcPr>
          <w:p w14:paraId="22AE9694" w14:textId="13A99DE5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27" w:type="dxa"/>
            <w:vAlign w:val="center"/>
          </w:tcPr>
          <w:p w14:paraId="1ED3823C" w14:textId="415E3100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-13.50</w:t>
            </w:r>
          </w:p>
        </w:tc>
        <w:tc>
          <w:tcPr>
            <w:tcW w:w="1127" w:type="dxa"/>
            <w:vAlign w:val="center"/>
          </w:tcPr>
          <w:p w14:paraId="333802CD" w14:textId="4409CDF3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-34.61 to 7.60</w:t>
            </w:r>
          </w:p>
        </w:tc>
        <w:tc>
          <w:tcPr>
            <w:tcW w:w="1127" w:type="dxa"/>
            <w:vAlign w:val="center"/>
          </w:tcPr>
          <w:p w14:paraId="06D0457F" w14:textId="66174535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0.207</w:t>
            </w:r>
          </w:p>
        </w:tc>
      </w:tr>
      <w:tr w:rsidR="004F292B" w:rsidRPr="004F292B" w14:paraId="06E13DF1" w14:textId="77777777" w:rsidTr="004A7D0C">
        <w:tc>
          <w:tcPr>
            <w:tcW w:w="1127" w:type="dxa"/>
            <w:vAlign w:val="center"/>
          </w:tcPr>
          <w:p w14:paraId="445FE3A3" w14:textId="5CBC2AF0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HDL-C</w:t>
            </w:r>
          </w:p>
        </w:tc>
        <w:tc>
          <w:tcPr>
            <w:tcW w:w="1127" w:type="dxa"/>
            <w:vAlign w:val="center"/>
          </w:tcPr>
          <w:p w14:paraId="2DACB6DD" w14:textId="4AF38C33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ANCOVA</w:t>
            </w:r>
          </w:p>
        </w:tc>
        <w:tc>
          <w:tcPr>
            <w:tcW w:w="1127" w:type="dxa"/>
            <w:vAlign w:val="center"/>
          </w:tcPr>
          <w:p w14:paraId="55EFFD2C" w14:textId="169F27CA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127" w:type="dxa"/>
            <w:vAlign w:val="center"/>
          </w:tcPr>
          <w:p w14:paraId="72D0665C" w14:textId="39C45948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27" w:type="dxa"/>
            <w:vAlign w:val="center"/>
          </w:tcPr>
          <w:p w14:paraId="3FF3CE69" w14:textId="2908CC48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27" w:type="dxa"/>
            <w:vAlign w:val="center"/>
          </w:tcPr>
          <w:p w14:paraId="074256B5" w14:textId="5CB0CBA3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-1.71</w:t>
            </w:r>
          </w:p>
        </w:tc>
        <w:tc>
          <w:tcPr>
            <w:tcW w:w="1127" w:type="dxa"/>
            <w:vAlign w:val="center"/>
          </w:tcPr>
          <w:p w14:paraId="170518F3" w14:textId="46ABE0E4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-8.75 to 5.32</w:t>
            </w:r>
          </w:p>
        </w:tc>
        <w:tc>
          <w:tcPr>
            <w:tcW w:w="1127" w:type="dxa"/>
            <w:vAlign w:val="center"/>
          </w:tcPr>
          <w:p w14:paraId="399AE8C9" w14:textId="74BEA177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0.630</w:t>
            </w:r>
          </w:p>
        </w:tc>
      </w:tr>
      <w:tr w:rsidR="004F292B" w:rsidRPr="004F292B" w14:paraId="04FBBC78" w14:textId="77777777" w:rsidTr="004A7D0C">
        <w:tc>
          <w:tcPr>
            <w:tcW w:w="1127" w:type="dxa"/>
            <w:vAlign w:val="center"/>
          </w:tcPr>
          <w:p w14:paraId="0A11EEA4" w14:textId="0E55BFA0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Non-HDL-C</w:t>
            </w:r>
          </w:p>
        </w:tc>
        <w:tc>
          <w:tcPr>
            <w:tcW w:w="1127" w:type="dxa"/>
            <w:vAlign w:val="center"/>
          </w:tcPr>
          <w:p w14:paraId="6CFCC3DF" w14:textId="7C1E3739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ANCOVA</w:t>
            </w:r>
          </w:p>
        </w:tc>
        <w:tc>
          <w:tcPr>
            <w:tcW w:w="1127" w:type="dxa"/>
            <w:vAlign w:val="center"/>
          </w:tcPr>
          <w:p w14:paraId="37F327FD" w14:textId="6E5A7E41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127" w:type="dxa"/>
            <w:vAlign w:val="center"/>
          </w:tcPr>
          <w:p w14:paraId="0651F6FF" w14:textId="48E8D6BD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27" w:type="dxa"/>
            <w:vAlign w:val="center"/>
          </w:tcPr>
          <w:p w14:paraId="117D3F33" w14:textId="648AA0BF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27" w:type="dxa"/>
            <w:vAlign w:val="center"/>
          </w:tcPr>
          <w:p w14:paraId="0CEE419A" w14:textId="4EB74254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-16.07</w:t>
            </w:r>
          </w:p>
        </w:tc>
        <w:tc>
          <w:tcPr>
            <w:tcW w:w="1127" w:type="dxa"/>
            <w:vAlign w:val="center"/>
          </w:tcPr>
          <w:p w14:paraId="2B575BA8" w14:textId="1529ED7A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-32.86 to 0.72</w:t>
            </w:r>
          </w:p>
        </w:tc>
        <w:tc>
          <w:tcPr>
            <w:tcW w:w="1127" w:type="dxa"/>
            <w:vAlign w:val="center"/>
          </w:tcPr>
          <w:p w14:paraId="51640409" w14:textId="77B7580F" w:rsidR="004F292B" w:rsidRPr="004F292B" w:rsidRDefault="004F292B" w:rsidP="004F2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92B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</w:tr>
    </w:tbl>
    <w:p w14:paraId="1D2505F7" w14:textId="77777777" w:rsidR="004F292B" w:rsidRPr="004F292B" w:rsidRDefault="004F292B" w:rsidP="004F292B">
      <w:pPr>
        <w:rPr>
          <w:rFonts w:ascii="Times New Roman" w:hAnsi="Times New Roman" w:cs="Times New Roman"/>
          <w:sz w:val="24"/>
        </w:rPr>
      </w:pPr>
      <w:r w:rsidRPr="004F292B">
        <w:rPr>
          <w:rFonts w:ascii="Times New Roman" w:hAnsi="Times New Roman" w:cs="Times New Roman"/>
          <w:sz w:val="24"/>
        </w:rPr>
        <w:t>Note. Delta models used the change in each lipid fraction from baseline to follow-up as the dependent variable. ANCOVA models used the follow-up lipid value as the dependent variable and included the corresponding baseline lipid value as an additional covariate. Models were adjusted for baseline age, follow-up duration, change in BMI Z-score, estrogen replacement therapy, and thyroid medication. β coefficients indicate the adjusted mean difference associated with GHT compared with the untreated group. Abbreviations: ANCOVA, analysis of covariance; BMI, body mass index; CI, confidence interval; GHT, growth hormone therapy; HDL-C, high-density lipoprotein cholesterol; LDL-C, low-density lipoprotein cholesterol.</w:t>
      </w:r>
    </w:p>
    <w:p w14:paraId="1C38AA0C" w14:textId="2F140E01" w:rsidR="004F292B" w:rsidRPr="004F292B" w:rsidRDefault="004F292B" w:rsidP="004F292B">
      <w:pPr>
        <w:rPr>
          <w:rFonts w:ascii="Times New Roman" w:hAnsi="Times New Roman" w:cs="Times New Roman"/>
          <w:sz w:val="24"/>
        </w:rPr>
      </w:pPr>
    </w:p>
    <w:sectPr w:rsidR="004F292B" w:rsidRPr="004F292B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40BC6" w14:textId="77777777" w:rsidR="00C81296" w:rsidRDefault="00C81296" w:rsidP="0071560B">
      <w:pPr>
        <w:spacing w:after="0"/>
      </w:pPr>
      <w:r>
        <w:separator/>
      </w:r>
    </w:p>
  </w:endnote>
  <w:endnote w:type="continuationSeparator" w:id="0">
    <w:p w14:paraId="25B7290B" w14:textId="77777777" w:rsidR="00C81296" w:rsidRDefault="00C81296" w:rsidP="007156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582AB" w14:textId="77777777" w:rsidR="00C81296" w:rsidRDefault="00C81296" w:rsidP="0071560B">
      <w:pPr>
        <w:spacing w:after="0"/>
      </w:pPr>
      <w:r>
        <w:separator/>
      </w:r>
    </w:p>
  </w:footnote>
  <w:footnote w:type="continuationSeparator" w:id="0">
    <w:p w14:paraId="4B8E0E26" w14:textId="77777777" w:rsidR="00C81296" w:rsidRDefault="00C81296" w:rsidP="007156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FAC"/>
    <w:rsid w:val="001C522B"/>
    <w:rsid w:val="00361FAC"/>
    <w:rsid w:val="004116E6"/>
    <w:rsid w:val="004F292B"/>
    <w:rsid w:val="00602449"/>
    <w:rsid w:val="006635AA"/>
    <w:rsid w:val="0071560B"/>
    <w:rsid w:val="008C16A4"/>
    <w:rsid w:val="009C0F3F"/>
    <w:rsid w:val="009C4D9B"/>
    <w:rsid w:val="00C81296"/>
    <w:rsid w:val="00CA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452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92B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/>
      <w:sz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6Char">
    <w:name w:val="제목 6 Char"/>
    <w:basedOn w:val="a0"/>
    <w:link w:val="6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7Char">
    <w:name w:val="제목 7 Char"/>
    <w:basedOn w:val="a0"/>
    <w:link w:val="7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8Char">
    <w:name w:val="제목 8 Char"/>
    <w:basedOn w:val="a0"/>
    <w:link w:val="8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9Char">
    <w:name w:val="제목 9 Char"/>
    <w:basedOn w:val="a0"/>
    <w:link w:val="9"/>
    <w:uiPriority w:val="9"/>
    <w:semiHidden/>
    <w:rPr>
      <w:rFonts w:asciiTheme="majorHAnsi" w:eastAsiaTheme="majorEastAsia" w:hAnsiTheme="majorHAnsi" w:cstheme="majorBidi"/>
      <w:color w:val="000000"/>
    </w:rPr>
  </w:style>
  <w:style w:type="paragraph" w:styleId="a3">
    <w:name w:val="Title"/>
    <w:basedOn w:val="a"/>
    <w:next w:val="a"/>
    <w:link w:val="Char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Pr>
      <w:rFonts w:asciiTheme="majorHAnsi" w:eastAsiaTheme="majorEastAsia" w:hAnsiTheme="majorHAnsi" w:cstheme="majorBidi"/>
      <w:color w:val="595959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pPr>
      <w:spacing w:before="160"/>
      <w:jc w:val="center"/>
    </w:pPr>
    <w:rPr>
      <w:i/>
      <w:iCs/>
      <w:color w:val="3F3F3F"/>
    </w:rPr>
  </w:style>
  <w:style w:type="character" w:customStyle="1" w:styleId="Char1">
    <w:name w:val="인용 Char"/>
    <w:basedOn w:val="a0"/>
    <w:link w:val="a5"/>
    <w:uiPriority w:val="29"/>
    <w:rPr>
      <w:i/>
      <w:iCs/>
      <w:color w:val="3F3F3F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styleId="a7">
    <w:name w:val="Intense Emphasis"/>
    <w:basedOn w:val="a0"/>
    <w:uiPriority w:val="21"/>
    <w:qFormat/>
    <w:rPr>
      <w:i/>
      <w:iCs/>
      <w:color w:val="104861"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104861"/>
    </w:rPr>
  </w:style>
  <w:style w:type="character" w:customStyle="1" w:styleId="Char2">
    <w:name w:val="강한 인용 Char"/>
    <w:basedOn w:val="a0"/>
    <w:link w:val="a8"/>
    <w:uiPriority w:val="30"/>
    <w:rPr>
      <w:i/>
      <w:iCs/>
      <w:color w:val="104861"/>
    </w:rPr>
  </w:style>
  <w:style w:type="character" w:styleId="a9">
    <w:name w:val="Intense Reference"/>
    <w:basedOn w:val="a0"/>
    <w:uiPriority w:val="32"/>
    <w:qFormat/>
    <w:rPr>
      <w:b/>
      <w:bCs/>
      <w:smallCaps/>
      <w:color w:val="104861"/>
      <w:spacing w:val="5"/>
    </w:r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Char3"/>
    <w:uiPriority w:val="99"/>
    <w:unhideWhenUsed/>
  </w:style>
  <w:style w:type="character" w:customStyle="1" w:styleId="Char3">
    <w:name w:val="메모 텍스트 Char"/>
    <w:basedOn w:val="a0"/>
    <w:link w:val="ab"/>
    <w:uiPriority w:val="99"/>
  </w:style>
  <w:style w:type="paragraph" w:styleId="ac">
    <w:name w:val="annotation subject"/>
    <w:basedOn w:val="ab"/>
    <w:next w:val="ab"/>
    <w:link w:val="Char4"/>
    <w:uiPriority w:val="99"/>
    <w:semiHidden/>
    <w:unhideWhenUsed/>
    <w:rPr>
      <w:b/>
      <w:bCs/>
    </w:rPr>
  </w:style>
  <w:style w:type="character" w:customStyle="1" w:styleId="Char4">
    <w:name w:val="메모 주제 Char"/>
    <w:basedOn w:val="Char3"/>
    <w:link w:val="ac"/>
    <w:uiPriority w:val="99"/>
    <w:semiHidden/>
    <w:rPr>
      <w:b/>
      <w:bCs/>
    </w:rPr>
  </w:style>
  <w:style w:type="paragraph" w:styleId="ad">
    <w:name w:val="header"/>
    <w:basedOn w:val="a"/>
    <w:link w:val="Char5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d"/>
    <w:uiPriority w:val="99"/>
  </w:style>
  <w:style w:type="paragraph" w:styleId="ae">
    <w:name w:val="footer"/>
    <w:basedOn w:val="a"/>
    <w:link w:val="Char6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바닥글 Char"/>
    <w:basedOn w:val="a0"/>
    <w:link w:val="ae"/>
    <w:uiPriority w:val="99"/>
  </w:style>
  <w:style w:type="table" w:styleId="af">
    <w:name w:val="Table Grid"/>
    <w:basedOn w:val="a1"/>
    <w:uiPriority w:val="57"/>
    <w:rsid w:val="004F29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  <a:ln w="2540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2026-03-06T07:01:00Z</dcterms:created>
  <dcterms:modified xsi:type="dcterms:W3CDTF">2026-06-08T12:45:00Z</dcterms:modified>
  <cp:version>1200.0100.01</cp:version>
</cp:coreProperties>
</file>