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442CB">
      <w:pPr>
        <w:tabs>
          <w:tab w:val="left" w:pos="913"/>
        </w:tabs>
        <w:jc w:val="center"/>
        <w:rPr>
          <w:rFonts w:hint="eastAsia" w:ascii="Times New Roman" w:hAnsi="Times New Roman" w:cs="Times New Roman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40"/>
          <w:lang w:val="en-US" w:eastAsia="zh-CN"/>
        </w:rPr>
        <w:t>Supporting material</w:t>
      </w:r>
    </w:p>
    <w:p w14:paraId="64237129">
      <w:pPr>
        <w:tabs>
          <w:tab w:val="left" w:pos="913"/>
        </w:tabs>
        <w:jc w:val="center"/>
        <w:rPr>
          <w:rFonts w:ascii="Times New Roman" w:hAnsi="Times New Roman" w:eastAsia="Segoe UI Emoji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egoe UI Emoji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A Pre-Enrichment-Free Colorimetric Biosensor Based on Immunomagnetic Separation and G-Quadruplex DNAzyme Signal Amplification for Ultrasensitive Detection of </w:t>
      </w:r>
      <w:r>
        <w:rPr>
          <w:rFonts w:ascii="Times New Roman" w:hAnsi="Times New Roman" w:eastAsia="Segoe UI Emoji" w:cs="Times New Roman"/>
          <w:b/>
          <w:bCs/>
          <w:i/>
          <w:i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Vibrio parahaemolyticus</w:t>
      </w:r>
      <w:r>
        <w:rPr>
          <w:rFonts w:ascii="Times New Roman" w:hAnsi="Times New Roman" w:eastAsia="Segoe UI Emoji" w:cs="Times New Roman"/>
          <w:b/>
          <w:bCs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in Seafood</w:t>
      </w:r>
    </w:p>
    <w:p w14:paraId="2FDFB95E">
      <w:pPr>
        <w:bidi w:val="0"/>
        <w:rPr>
          <w:rFonts w:hint="default"/>
          <w:lang w:val="en-US" w:eastAsia="zh-CN"/>
        </w:rPr>
      </w:pPr>
    </w:p>
    <w:p w14:paraId="0B960DC1">
      <w:pPr>
        <w:bidi w:val="0"/>
        <w:rPr>
          <w:rFonts w:hint="default"/>
          <w:lang w:val="en-US" w:eastAsia="zh-CN"/>
        </w:rPr>
      </w:pPr>
    </w:p>
    <w:p w14:paraId="3D69A765">
      <w:pPr>
        <w:bidi w:val="0"/>
        <w:rPr>
          <w:rFonts w:hint="default"/>
          <w:lang w:val="en-US" w:eastAsia="zh-CN"/>
        </w:rPr>
      </w:pPr>
    </w:p>
    <w:p w14:paraId="07EF4BEB">
      <w:pPr>
        <w:bidi w:val="0"/>
        <w:rPr>
          <w:rFonts w:hint="default"/>
          <w:lang w:val="en-US" w:eastAsia="zh-CN"/>
        </w:rPr>
      </w:pPr>
    </w:p>
    <w:p w14:paraId="67D15BC9">
      <w:pPr>
        <w:bidi w:val="0"/>
        <w:rPr>
          <w:rFonts w:hint="default"/>
          <w:lang w:val="en-US" w:eastAsia="zh-CN"/>
        </w:rPr>
      </w:pPr>
    </w:p>
    <w:p w14:paraId="6159D86B">
      <w:pPr>
        <w:bidi w:val="0"/>
        <w:rPr>
          <w:rFonts w:hint="default"/>
          <w:lang w:val="en-US" w:eastAsia="zh-CN"/>
        </w:rPr>
      </w:pPr>
    </w:p>
    <w:p w14:paraId="792969E6">
      <w:pPr>
        <w:bidi w:val="0"/>
        <w:rPr>
          <w:rFonts w:hint="default"/>
          <w:lang w:val="en-US" w:eastAsia="zh-CN"/>
        </w:rPr>
      </w:pPr>
    </w:p>
    <w:p w14:paraId="503BA64D">
      <w:pPr>
        <w:bidi w:val="0"/>
        <w:rPr>
          <w:rFonts w:hint="default"/>
          <w:lang w:val="en-US" w:eastAsia="zh-CN"/>
        </w:rPr>
      </w:pPr>
    </w:p>
    <w:p w14:paraId="51B117A4">
      <w:pPr>
        <w:bidi w:val="0"/>
        <w:rPr>
          <w:rFonts w:hint="default"/>
          <w:lang w:val="en-US" w:eastAsia="zh-CN"/>
        </w:rPr>
      </w:pPr>
    </w:p>
    <w:p w14:paraId="4170E7B5">
      <w:pPr>
        <w:bidi w:val="0"/>
        <w:rPr>
          <w:rFonts w:hint="default"/>
          <w:lang w:val="en-US" w:eastAsia="zh-CN"/>
        </w:rPr>
      </w:pPr>
    </w:p>
    <w:p w14:paraId="39721759">
      <w:pPr>
        <w:bidi w:val="0"/>
        <w:rPr>
          <w:rFonts w:hint="default"/>
          <w:lang w:val="en-US" w:eastAsia="zh-CN"/>
        </w:rPr>
      </w:pPr>
    </w:p>
    <w:p w14:paraId="2280215F">
      <w:pPr>
        <w:bidi w:val="0"/>
        <w:rPr>
          <w:rFonts w:hint="default"/>
          <w:lang w:val="en-US" w:eastAsia="zh-CN"/>
        </w:rPr>
      </w:pPr>
    </w:p>
    <w:p w14:paraId="7139DA7A">
      <w:pPr>
        <w:bidi w:val="0"/>
        <w:rPr>
          <w:rFonts w:hint="default"/>
          <w:lang w:val="en-US" w:eastAsia="zh-CN"/>
        </w:rPr>
      </w:pPr>
    </w:p>
    <w:p w14:paraId="00918C60">
      <w:pPr>
        <w:bidi w:val="0"/>
        <w:rPr>
          <w:rFonts w:hint="default"/>
          <w:lang w:val="en-US" w:eastAsia="zh-CN"/>
        </w:rPr>
      </w:pPr>
    </w:p>
    <w:p w14:paraId="63FEED17">
      <w:pPr>
        <w:bidi w:val="0"/>
        <w:rPr>
          <w:rFonts w:hint="default"/>
          <w:lang w:val="en-US" w:eastAsia="zh-CN"/>
        </w:rPr>
      </w:pPr>
    </w:p>
    <w:p w14:paraId="3B6F08C4">
      <w:pPr>
        <w:bidi w:val="0"/>
        <w:rPr>
          <w:rFonts w:hint="default"/>
          <w:lang w:val="en-US" w:eastAsia="zh-CN"/>
        </w:rPr>
      </w:pPr>
    </w:p>
    <w:p w14:paraId="1E161E91">
      <w:pPr>
        <w:bidi w:val="0"/>
        <w:rPr>
          <w:rFonts w:hint="default"/>
          <w:lang w:val="en-US" w:eastAsia="zh-CN"/>
        </w:rPr>
      </w:pPr>
    </w:p>
    <w:p w14:paraId="3C7B311B">
      <w:pPr>
        <w:bidi w:val="0"/>
        <w:rPr>
          <w:rFonts w:hint="default"/>
          <w:lang w:val="en-US" w:eastAsia="zh-CN"/>
        </w:rPr>
      </w:pPr>
    </w:p>
    <w:p w14:paraId="324B4D6A">
      <w:pPr>
        <w:bidi w:val="0"/>
        <w:rPr>
          <w:rFonts w:hint="default"/>
          <w:lang w:val="en-US" w:eastAsia="zh-CN"/>
        </w:rPr>
      </w:pPr>
    </w:p>
    <w:p w14:paraId="1798CFAB">
      <w:pPr>
        <w:bidi w:val="0"/>
        <w:rPr>
          <w:rFonts w:hint="default"/>
          <w:lang w:val="en-US" w:eastAsia="zh-CN"/>
        </w:rPr>
      </w:pPr>
    </w:p>
    <w:p w14:paraId="1D9C3E30">
      <w:pPr>
        <w:bidi w:val="0"/>
        <w:rPr>
          <w:rFonts w:hint="default"/>
          <w:lang w:val="en-US" w:eastAsia="zh-CN"/>
        </w:rPr>
      </w:pPr>
    </w:p>
    <w:p w14:paraId="333DDD3F">
      <w:pPr>
        <w:bidi w:val="0"/>
        <w:rPr>
          <w:rFonts w:hint="default"/>
          <w:lang w:val="en-US" w:eastAsia="zh-CN"/>
        </w:rPr>
      </w:pPr>
    </w:p>
    <w:p w14:paraId="57192CB1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</w:p>
    <w:p w14:paraId="03C05423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</w:p>
    <w:p w14:paraId="58C75FD7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</w:p>
    <w:p w14:paraId="392BB951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</w:p>
    <w:p w14:paraId="1CF2A371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</w:p>
    <w:p w14:paraId="157BA8BF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</w:p>
    <w:p w14:paraId="188CA37C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</w:p>
    <w:p w14:paraId="20A0008F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</w:p>
    <w:p w14:paraId="4BAA6CDE">
      <w:pPr>
        <w:tabs>
          <w:tab w:val="left" w:pos="734"/>
        </w:tabs>
        <w:bidi w:val="0"/>
        <w:jc w:val="left"/>
        <w:rPr>
          <w:rFonts w:hint="eastAsia"/>
          <w:lang w:val="en-US" w:eastAsia="zh-CN"/>
        </w:rPr>
      </w:pPr>
      <w:bookmarkStart w:id="9" w:name="_GoBack"/>
      <w:bookmarkEnd w:id="9"/>
    </w:p>
    <w:p w14:paraId="691F9CE0">
      <w:pPr>
        <w:spacing w:line="360" w:lineRule="auto"/>
        <w:jc w:val="left"/>
      </w:pPr>
    </w:p>
    <w:p w14:paraId="48ECB585">
      <w:pPr>
        <w:spacing w:line="36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  <w:r>
        <w:drawing>
          <wp:inline distT="0" distB="0" distL="0" distR="0">
            <wp:extent cx="5377180" cy="1628140"/>
            <wp:effectExtent l="0" t="0" r="4445" b="635"/>
            <wp:docPr id="2564" name="图片 2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" name="图片 256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7180" cy="162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6408A">
      <w:pPr>
        <w:spacing w:line="360" w:lineRule="auto"/>
        <w:ind w:firstLine="482" w:firstLineChars="20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</w:p>
    <w:p w14:paraId="2BC813F3">
      <w:pPr>
        <w:pStyle w:val="5"/>
        <w:ind w:firstLine="560"/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Structural analysis diagram.(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)ssDNA. (b) Hairpin. (c) Hybrid duplex formed by ssDNA and Hairpin.</w:t>
      </w:r>
    </w:p>
    <w:p w14:paraId="2777EBA5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</w:p>
    <w:p w14:paraId="38D8EB25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</w:p>
    <w:p w14:paraId="3E2D78EA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</w:p>
    <w:p w14:paraId="35376D1F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</w:p>
    <w:p w14:paraId="043BA8C2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</w:p>
    <w:p w14:paraId="52A50EB1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</w:p>
    <w:p w14:paraId="4CFDE3A5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</w:pPr>
    </w:p>
    <w:tbl>
      <w:tblPr>
        <w:tblStyle w:val="3"/>
        <w:tblpPr w:leftFromText="180" w:rightFromText="180" w:vertAnchor="text" w:horzAnchor="page" w:tblpX="1675" w:tblpY="500"/>
        <w:tblW w:w="938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8435"/>
      </w:tblGrid>
      <w:tr w14:paraId="48FA3E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5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39CB1A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Name</w:t>
            </w:r>
          </w:p>
        </w:tc>
        <w:tc>
          <w:tcPr>
            <w:tcW w:w="843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B5BAD8C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Sequence</w:t>
            </w:r>
          </w:p>
        </w:tc>
      </w:tr>
      <w:tr w14:paraId="13433D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tcBorders>
              <w:top w:val="single" w:color="auto" w:sz="4" w:space="0"/>
              <w:bottom w:val="nil"/>
            </w:tcBorders>
            <w:vAlign w:val="center"/>
          </w:tcPr>
          <w:p w14:paraId="2D1E4635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Apt</w:t>
            </w:r>
          </w:p>
        </w:tc>
        <w:tc>
          <w:tcPr>
            <w:tcW w:w="8435" w:type="dxa"/>
            <w:tcBorders>
              <w:top w:val="single" w:color="auto" w:sz="4" w:space="0"/>
              <w:bottom w:val="nil"/>
            </w:tcBorders>
            <w:vAlign w:val="center"/>
          </w:tcPr>
          <w:p w14:paraId="72B91635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5'-SH-TCTAAAAATGGGCAAAGAAACAGTGACTCGTTGAGATACT-3'</w:t>
            </w:r>
          </w:p>
        </w:tc>
      </w:tr>
      <w:tr w14:paraId="691D20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67CFCE5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  <w:t>ssDNA</w:t>
            </w:r>
          </w:p>
        </w:tc>
        <w:tc>
          <w:tcPr>
            <w:tcW w:w="8435" w:type="dxa"/>
            <w:tcBorders>
              <w:top w:val="nil"/>
              <w:bottom w:val="nil"/>
            </w:tcBorders>
            <w:vAlign w:val="center"/>
          </w:tcPr>
          <w:p w14:paraId="352B8E01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  <w:t>5'-AAAAAAAAAAAAAAATTGGGAAACATCGACTC-3'</w:t>
            </w:r>
          </w:p>
        </w:tc>
      </w:tr>
      <w:tr w14:paraId="0A930D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1F602427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  <w:t>CatG4</w:t>
            </w:r>
          </w:p>
        </w:tc>
        <w:tc>
          <w:tcPr>
            <w:tcW w:w="8435" w:type="dxa"/>
            <w:tcBorders>
              <w:top w:val="nil"/>
              <w:bottom w:val="nil"/>
            </w:tcBorders>
            <w:vAlign w:val="center"/>
          </w:tcPr>
          <w:p w14:paraId="7C7EA28B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  <w:t>5'-TGGGTAGGGCGGGTTGGGAAA-3'</w:t>
            </w:r>
          </w:p>
        </w:tc>
      </w:tr>
      <w:tr w14:paraId="114185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Align w:val="center"/>
          </w:tcPr>
          <w:p w14:paraId="0357A1D7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  <w:t>Hairpin</w:t>
            </w:r>
          </w:p>
        </w:tc>
        <w:tc>
          <w:tcPr>
            <w:tcW w:w="8435" w:type="dxa"/>
            <w:vAlign w:val="center"/>
          </w:tcPr>
          <w:p w14:paraId="0173B278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Hans"/>
              </w:rPr>
              <w:t>5'-TGGGTAGGGCGGGTTGGGAAATTGGAGTGTGAGTCGATGTTTCCCAA-3'</w:t>
            </w:r>
          </w:p>
        </w:tc>
      </w:tr>
    </w:tbl>
    <w:p w14:paraId="4380C06C"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  <w:t>Tab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Hans"/>
        </w:rPr>
        <w:t xml:space="preserve">1 </w:t>
      </w:r>
      <w:r>
        <w:rPr>
          <w:rFonts w:hint="default" w:ascii="Times New Roman" w:hAnsi="Times New Roman" w:cs="Times New Roman"/>
          <w:sz w:val="24"/>
          <w:szCs w:val="24"/>
        </w:rPr>
        <w:t>The</w:t>
      </w:r>
      <w:r>
        <w:rPr>
          <w:rFonts w:hint="default" w:ascii="Times New Roman" w:hAnsi="Times New Roman" w:cs="Times New Roman"/>
          <w:sz w:val="24"/>
          <w:szCs w:val="24"/>
          <w:lang w:eastAsia="zh-Han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DNA</w:t>
      </w:r>
      <w:r>
        <w:rPr>
          <w:rFonts w:hint="default" w:ascii="Times New Roman" w:hAnsi="Times New Roman" w:cs="Times New Roman"/>
          <w:sz w:val="24"/>
          <w:szCs w:val="24"/>
          <w:lang w:eastAsia="zh-Hans"/>
        </w:rPr>
        <w:t xml:space="preserve"> sequences </w:t>
      </w:r>
      <w:r>
        <w:rPr>
          <w:rFonts w:hint="default" w:ascii="Times New Roman" w:hAnsi="Times New Roman" w:cs="Times New Roman"/>
          <w:sz w:val="24"/>
          <w:szCs w:val="24"/>
        </w:rPr>
        <w:t xml:space="preserve">used in this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work.</w:t>
      </w:r>
    </w:p>
    <w:p w14:paraId="1B5FAE87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A11DE54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D2E441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A49D58D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34D160A">
      <w:pPr>
        <w:spacing w:line="360" w:lineRule="auto"/>
        <w:jc w:val="center"/>
      </w:pPr>
      <w:r>
        <w:drawing>
          <wp:inline distT="0" distB="0" distL="114300" distR="114300">
            <wp:extent cx="4495800" cy="3733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3539">
      <w:p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Figure S2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Particle size distribution diagram: (a) Fe@Ag; (b) Fe@Ag - apt; (c) AuNPs; (d) AuNPs - IgY.</w:t>
      </w:r>
    </w:p>
    <w:p w14:paraId="47373250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12E5515">
      <w:pPr>
        <w:tabs>
          <w:tab w:val="left" w:pos="1457"/>
        </w:tabs>
        <w:bidi w:val="0"/>
        <w:jc w:val="left"/>
        <w:rPr>
          <w:sz w:val="28"/>
          <w:szCs w:val="28"/>
          <w:lang w:eastAsia="zh-CN"/>
        </w:rPr>
      </w:pPr>
      <w:r>
        <w:rPr>
          <w:rFonts w:hint="eastAsia"/>
          <w:lang w:val="en-US" w:eastAsia="zh-CN"/>
        </w:rPr>
        <w:tab/>
      </w:r>
      <w:r>
        <w:rPr>
          <w:sz w:val="28"/>
          <w:szCs w:val="28"/>
          <w:lang w:eastAsia="zh-CN"/>
        </w:rPr>
        <w:drawing>
          <wp:inline distT="0" distB="0" distL="0" distR="0">
            <wp:extent cx="3459480" cy="3544570"/>
            <wp:effectExtent l="0" t="0" r="762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0016" cy="3544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1BB89">
      <w:pPr>
        <w:pStyle w:val="5"/>
        <w:spacing w:before="240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S3.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EDS map of element distribution of Fe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@Ag NPs.</w:t>
      </w:r>
    </w:p>
    <w:p w14:paraId="139617E9">
      <w:pPr>
        <w:pStyle w:val="5"/>
        <w:spacing w:before="240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3FDA705">
      <w:pPr>
        <w:pStyle w:val="5"/>
        <w:spacing w:before="240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2CBD0D5C">
      <w:pPr>
        <w:tabs>
          <w:tab w:val="left" w:pos="1457"/>
        </w:tabs>
        <w:bidi w:val="0"/>
        <w:jc w:val="center"/>
      </w:pPr>
      <w:r>
        <w:rPr>
          <w:sz w:val="28"/>
          <w:szCs w:val="28"/>
        </w:rPr>
        <w:object>
          <v:shape id="_x0000_i1025" o:spt="75" type="#_x0000_t75" style="height:199pt;width:283.1pt;" o:ole="t" filled="f" o:preferrelative="t" stroked="f" coordsize="21600,21600">
            <v:path/>
            <v:fill on="f" focussize="0,0"/>
            <v:stroke on="f" joinstyle="miter"/>
            <v:imagedata r:id="rId8" cropbottom="5444f" o:title=""/>
            <o:lock v:ext="edit" aspectratio="t"/>
            <w10:wrap type="none"/>
            <w10:anchorlock/>
          </v:shape>
          <o:OLEObject Type="Embed" ProgID="Origin95.Graph" ShapeID="_x0000_i1025" DrawAspect="Content" ObjectID="_1468075725" r:id="rId7">
            <o:LockedField>false</o:LockedField>
          </o:OLEObject>
        </w:object>
      </w:r>
    </w:p>
    <w:p w14:paraId="7CB9FE83">
      <w:pPr>
        <w:tabs>
          <w:tab w:val="left" w:pos="1457"/>
        </w:tabs>
        <w:bidi w:val="0"/>
        <w:jc w:val="left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S4.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Zeta potential measurements of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Fe</w:t>
      </w:r>
      <w:r>
        <w:rPr>
          <w:rFonts w:hint="default" w:ascii="Times New Roman" w:hAnsi="Times New Roman" w:cs="Times New Roman"/>
          <w:sz w:val="24"/>
          <w:szCs w:val="32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O</w:t>
      </w:r>
      <w:r>
        <w:rPr>
          <w:rFonts w:hint="default" w:ascii="Times New Roman" w:hAnsi="Times New Roman" w:cs="Times New Roman"/>
          <w:sz w:val="24"/>
          <w:szCs w:val="32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@Ag NPs and Fe</w:t>
      </w:r>
      <w:r>
        <w:rPr>
          <w:rFonts w:hint="default" w:ascii="Times New Roman" w:hAnsi="Times New Roman" w:cs="Times New Roman"/>
          <w:sz w:val="24"/>
          <w:szCs w:val="32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O</w:t>
      </w:r>
      <w:r>
        <w:rPr>
          <w:rFonts w:hint="default" w:ascii="Times New Roman" w:hAnsi="Times New Roman" w:cs="Times New Roman"/>
          <w:sz w:val="24"/>
          <w:szCs w:val="32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@Ag NPs-apt.</w:t>
      </w:r>
    </w:p>
    <w:p w14:paraId="199EC6BE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DDDCACB">
      <w:pPr>
        <w:tabs>
          <w:tab w:val="left" w:pos="303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A95D047">
      <w:pPr>
        <w:tabs>
          <w:tab w:val="left" w:pos="3032"/>
        </w:tabs>
        <w:bidi w:val="0"/>
        <w:jc w:val="left"/>
        <w:rPr>
          <w:rFonts w:hint="eastAsia"/>
          <w:lang w:val="en-US" w:eastAsia="zh-CN"/>
        </w:rPr>
      </w:pPr>
    </w:p>
    <w:p w14:paraId="4BDA61EC">
      <w:pPr>
        <w:tabs>
          <w:tab w:val="left" w:pos="3032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513705" cy="2150745"/>
            <wp:effectExtent l="0" t="0" r="0" b="0"/>
            <wp:docPr id="2576" name="图片 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" name="图片 25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3752" cy="2151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65B90">
      <w:pPr>
        <w:tabs>
          <w:tab w:val="left" w:pos="3032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S5.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Characterization results of Ultraviolet absorption spectrum.(a)AuNPs. (b) AuNPs-IgY.</w:t>
      </w:r>
    </w:p>
    <w:p w14:paraId="0EDF29B0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B44D9A4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734C30E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B2897E3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AA4DB95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BEF00FB">
      <w:pPr>
        <w:tabs>
          <w:tab w:val="left" w:pos="3236"/>
        </w:tabs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639695" cy="1979930"/>
            <wp:effectExtent l="0" t="0" r="8255" b="1270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00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F820D">
      <w:pPr>
        <w:spacing w:line="360" w:lineRule="auto"/>
        <w:jc w:val="center"/>
        <w:rPr>
          <w:rFonts w:ascii="Times New Roman" w:hAnsi="Times New Roman" w:eastAsia="宋体" w:cs="Times New Roman"/>
          <w:i/>
          <w:spacing w:val="-8"/>
          <w:sz w:val="28"/>
          <w:szCs w:val="28"/>
          <w14:ligatures w14:val="standardContextual"/>
        </w:rPr>
      </w:pPr>
      <w:r>
        <w:rPr>
          <w:rFonts w:hint="eastAsia" w:ascii="Times New Roman" w:hAnsi="Times New Roman" w:eastAsia="宋体" w:cs="Times New Roman"/>
          <w:b/>
          <w:bCs/>
          <w:spacing w:val="-8"/>
          <w:sz w:val="24"/>
          <w:szCs w:val="24"/>
          <w14:ligatures w14:val="standardContextual"/>
        </w:rPr>
        <w:t>Figure</w:t>
      </w:r>
      <w:r>
        <w:rPr>
          <w:rFonts w:hint="eastAsia" w:ascii="Times New Roman" w:hAnsi="Times New Roman" w:eastAsia="宋体" w:cs="Times New Roman"/>
          <w:b/>
          <w:bCs/>
          <w:spacing w:val="-8"/>
          <w:sz w:val="24"/>
          <w:szCs w:val="24"/>
          <w:lang w:val="en-US" w:eastAsia="zh-CN"/>
          <w14:ligatures w14:val="standardContextual"/>
        </w:rPr>
        <w:t xml:space="preserve"> S6.</w:t>
      </w:r>
      <w:r>
        <w:rPr>
          <w:rFonts w:ascii="Times New Roman" w:hAnsi="Times New Roman" w:eastAsia="宋体" w:cs="Times New Roman"/>
          <w:b/>
          <w:bCs/>
          <w:spacing w:val="-8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宋体" w:cs="Times New Roman"/>
          <w:spacing w:val="-8"/>
          <w:sz w:val="24"/>
          <w:szCs w:val="24"/>
          <w14:ligatures w14:val="standardContextual"/>
        </w:rPr>
        <w:t>TEM image of Fe</w:t>
      </w:r>
      <w:r>
        <w:rPr>
          <w:rFonts w:ascii="Times New Roman" w:hAnsi="Times New Roman" w:eastAsia="宋体" w:cs="Times New Roman"/>
          <w:spacing w:val="-8"/>
          <w:sz w:val="24"/>
          <w:szCs w:val="24"/>
          <w:vertAlign w:val="subscript"/>
          <w14:ligatures w14:val="standardContextual"/>
        </w:rPr>
        <w:t>3</w:t>
      </w:r>
      <w:r>
        <w:rPr>
          <w:rFonts w:ascii="Times New Roman" w:hAnsi="Times New Roman" w:eastAsia="宋体" w:cs="Times New Roman"/>
          <w:spacing w:val="-8"/>
          <w:sz w:val="24"/>
          <w:szCs w:val="24"/>
          <w14:ligatures w14:val="standardContextual"/>
        </w:rPr>
        <w:t>O</w:t>
      </w:r>
      <w:r>
        <w:rPr>
          <w:rFonts w:ascii="Times New Roman" w:hAnsi="Times New Roman" w:eastAsia="宋体" w:cs="Times New Roman"/>
          <w:spacing w:val="-8"/>
          <w:sz w:val="24"/>
          <w:szCs w:val="24"/>
          <w:vertAlign w:val="subscript"/>
          <w14:ligatures w14:val="standardContextual"/>
        </w:rPr>
        <w:t>4</w:t>
      </w:r>
      <w:r>
        <w:rPr>
          <w:rFonts w:ascii="Times New Roman" w:hAnsi="Times New Roman" w:eastAsia="宋体" w:cs="Times New Roman"/>
          <w:spacing w:val="-8"/>
          <w:sz w:val="24"/>
          <w:szCs w:val="24"/>
          <w14:ligatures w14:val="standardContextual"/>
        </w:rPr>
        <w:t xml:space="preserve">@Ag NPs-apt, AuNPs-IgY and </w:t>
      </w:r>
      <w:r>
        <w:rPr>
          <w:rFonts w:ascii="Times New Roman" w:hAnsi="Times New Roman" w:eastAsia="宋体" w:cs="Times New Roman"/>
          <w:i/>
          <w:spacing w:val="-8"/>
          <w:sz w:val="24"/>
          <w:szCs w:val="24"/>
          <w14:ligatures w14:val="standardContextual"/>
        </w:rPr>
        <w:t>V. parahaemolyticus</w:t>
      </w:r>
    </w:p>
    <w:p w14:paraId="6C264581">
      <w:pPr>
        <w:tabs>
          <w:tab w:val="left" w:pos="3236"/>
        </w:tabs>
        <w:bidi w:val="0"/>
        <w:jc w:val="center"/>
        <w:rPr>
          <w:rFonts w:hint="default"/>
          <w:sz w:val="28"/>
          <w:szCs w:val="28"/>
          <w:lang w:val="en-US" w:eastAsia="zh-CN"/>
        </w:rPr>
      </w:pPr>
    </w:p>
    <w:p w14:paraId="26421D58">
      <w:pPr>
        <w:tabs>
          <w:tab w:val="left" w:pos="3236"/>
        </w:tabs>
        <w:bidi w:val="0"/>
        <w:jc w:val="center"/>
      </w:pPr>
      <w:r>
        <w:drawing>
          <wp:inline distT="0" distB="0" distL="114300" distR="114300">
            <wp:extent cx="5267960" cy="3256915"/>
            <wp:effectExtent l="0" t="0" r="8890" b="63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EB064">
      <w:pPr>
        <w:tabs>
          <w:tab w:val="left" w:pos="3236"/>
        </w:tabs>
        <w:bidi w:val="0"/>
        <w:jc w:val="both"/>
        <w:rPr>
          <w:rFonts w:hint="eastAsia" w:ascii="Times New Roman" w:hAnsi="Times New Roman" w:eastAsia="宋体" w:cs="Times New Roman"/>
          <w:b w:val="0"/>
          <w:bCs w:val="0"/>
          <w:spacing w:val="-8"/>
          <w:sz w:val="24"/>
          <w:szCs w:val="24"/>
          <w:lang w:val="en-US" w:eastAsia="zh-CN"/>
          <w14:ligatures w14:val="standardContextual"/>
        </w:rPr>
      </w:pPr>
      <w:r>
        <w:rPr>
          <w:rFonts w:hint="eastAsia" w:ascii="Times New Roman" w:hAnsi="Times New Roman" w:eastAsia="宋体" w:cs="Times New Roman"/>
          <w:b/>
          <w:bCs/>
          <w:spacing w:val="-8"/>
          <w:sz w:val="24"/>
          <w:szCs w:val="24"/>
          <w14:ligatures w14:val="standardContextual"/>
        </w:rPr>
        <w:t>Figure</w:t>
      </w:r>
      <w:r>
        <w:rPr>
          <w:rFonts w:hint="eastAsia" w:ascii="Times New Roman" w:hAnsi="Times New Roman" w:eastAsia="宋体" w:cs="Times New Roman"/>
          <w:b/>
          <w:bCs/>
          <w:spacing w:val="-8"/>
          <w:sz w:val="24"/>
          <w:szCs w:val="24"/>
          <w:lang w:val="en-US" w:eastAsia="zh-CN"/>
          <w14:ligatures w14:val="standardContextual"/>
        </w:rPr>
        <w:t xml:space="preserve"> S7. </w:t>
      </w:r>
      <w:r>
        <w:rPr>
          <w:rFonts w:hint="eastAsia" w:ascii="Times New Roman" w:hAnsi="Times New Roman" w:eastAsia="宋体" w:cs="Times New Roman"/>
          <w:b w:val="0"/>
          <w:bCs w:val="0"/>
          <w:spacing w:val="-8"/>
          <w:sz w:val="24"/>
          <w:szCs w:val="24"/>
          <w:lang w:val="en-US" w:eastAsia="zh-CN"/>
          <w14:ligatures w14:val="standardContextual"/>
        </w:rPr>
        <w:t xml:space="preserve">Photos of the plate count of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pacing w:val="-8"/>
          <w:sz w:val="24"/>
          <w:szCs w:val="24"/>
          <w:lang w:val="en-US" w:eastAsia="zh-CN"/>
          <w14:ligatures w14:val="standardContextual"/>
        </w:rPr>
        <w:t>V. parahemolyticus</w:t>
      </w:r>
      <w:r>
        <w:rPr>
          <w:rFonts w:hint="eastAsia" w:ascii="Times New Roman" w:hAnsi="Times New Roman" w:eastAsia="宋体" w:cs="Times New Roman"/>
          <w:b w:val="0"/>
          <w:bCs w:val="0"/>
          <w:spacing w:val="-8"/>
          <w:sz w:val="24"/>
          <w:szCs w:val="24"/>
          <w:lang w:val="en-US" w:eastAsia="zh-CN"/>
          <w14:ligatures w14:val="standardContextual"/>
        </w:rPr>
        <w:t xml:space="preserve"> with different dosages of Fe</w:t>
      </w:r>
      <w:r>
        <w:rPr>
          <w:rFonts w:hint="eastAsia" w:ascii="Times New Roman" w:hAnsi="Times New Roman" w:eastAsia="宋体" w:cs="Times New Roman"/>
          <w:b w:val="0"/>
          <w:bCs w:val="0"/>
          <w:spacing w:val="-8"/>
          <w:sz w:val="24"/>
          <w:szCs w:val="24"/>
          <w:vertAlign w:val="subscript"/>
          <w:lang w:val="en-US" w:eastAsia="zh-CN"/>
          <w14:ligatures w14:val="standardContextual"/>
        </w:rPr>
        <w:t>3</w:t>
      </w:r>
      <w:r>
        <w:rPr>
          <w:rFonts w:hint="eastAsia" w:ascii="Times New Roman" w:hAnsi="Times New Roman" w:eastAsia="宋体" w:cs="Times New Roman"/>
          <w:b w:val="0"/>
          <w:bCs w:val="0"/>
          <w:spacing w:val="-8"/>
          <w:sz w:val="24"/>
          <w:szCs w:val="24"/>
          <w:lang w:val="en-US" w:eastAsia="zh-CN"/>
          <w14:ligatures w14:val="standardContextual"/>
        </w:rPr>
        <w:t>O</w:t>
      </w:r>
      <w:r>
        <w:rPr>
          <w:rFonts w:hint="eastAsia" w:ascii="Times New Roman" w:hAnsi="Times New Roman" w:eastAsia="宋体" w:cs="Times New Roman"/>
          <w:b w:val="0"/>
          <w:bCs w:val="0"/>
          <w:spacing w:val="-8"/>
          <w:sz w:val="24"/>
          <w:szCs w:val="24"/>
          <w:vertAlign w:val="subscript"/>
          <w:lang w:val="en-US" w:eastAsia="zh-CN"/>
          <w14:ligatures w14:val="standardContextual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spacing w:val="-8"/>
          <w:sz w:val="24"/>
          <w:szCs w:val="24"/>
          <w:lang w:val="en-US" w:eastAsia="zh-CN"/>
          <w14:ligatures w14:val="standardContextual"/>
        </w:rPr>
        <w:t>@Ag NPs-apt. (From left to right, they are positive control, 10 μL, 20 μL, 30 μL, 40 μL, 50 μL).</w:t>
      </w:r>
    </w:p>
    <w:p w14:paraId="08842E36">
      <w:pPr>
        <w:tabs>
          <w:tab w:val="left" w:pos="3236"/>
        </w:tabs>
        <w:bidi w:val="0"/>
        <w:jc w:val="center"/>
        <w:rPr>
          <w:rFonts w:hint="eastAsia" w:ascii="Times New Roman" w:hAnsi="Times New Roman" w:eastAsia="宋体" w:cs="Times New Roman"/>
          <w:b/>
          <w:bCs/>
          <w:spacing w:val="-8"/>
          <w:sz w:val="28"/>
          <w:szCs w:val="28"/>
          <w:lang w:val="en-US" w:eastAsia="zh-CN"/>
          <w14:ligatures w14:val="standardContextual"/>
        </w:rPr>
      </w:pPr>
    </w:p>
    <w:p w14:paraId="143DA9DD">
      <w:pPr>
        <w:tabs>
          <w:tab w:val="left" w:pos="3236"/>
        </w:tabs>
        <w:bidi w:val="0"/>
        <w:jc w:val="center"/>
        <w:rPr>
          <w:rFonts w:hint="eastAsia" w:ascii="Times New Roman" w:hAnsi="Times New Roman" w:eastAsia="宋体" w:cs="Times New Roman"/>
          <w:b/>
          <w:bCs/>
          <w:spacing w:val="-8"/>
          <w:sz w:val="28"/>
          <w:szCs w:val="28"/>
          <w:lang w:val="en-US" w:eastAsia="zh-CN"/>
          <w14:ligatures w14:val="standardContextual"/>
        </w:rPr>
      </w:pPr>
    </w:p>
    <w:p w14:paraId="33249898">
      <w:pPr>
        <w:tabs>
          <w:tab w:val="left" w:pos="3236"/>
        </w:tabs>
        <w:bidi w:val="0"/>
        <w:jc w:val="center"/>
      </w:pPr>
      <w:r>
        <w:drawing>
          <wp:inline distT="0" distB="0" distL="114300" distR="114300">
            <wp:extent cx="5269230" cy="3157220"/>
            <wp:effectExtent l="0" t="0" r="7620" b="508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2C130">
      <w:pPr>
        <w:tabs>
          <w:tab w:val="left" w:pos="3236"/>
        </w:tabs>
        <w:bidi w:val="0"/>
        <w:jc w:val="both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S8.</w:t>
      </w:r>
      <w:r>
        <w:rPr>
          <w:rFonts w:hint="default" w:ascii="Times New Roman" w:hAnsi="Times New Roman" w:cs="Times New Roman"/>
          <w:sz w:val="24"/>
          <w:szCs w:val="32"/>
        </w:rPr>
        <w:t xml:space="preserve"> Photographs of the plate count of V. parahemolyticus with different enrichment time.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(From left to right, they are positive control, 15 min, 30 min, 45 min, 60 min, 75 min).</w:t>
      </w:r>
    </w:p>
    <w:p w14:paraId="6D386159">
      <w:pPr>
        <w:tabs>
          <w:tab w:val="left" w:pos="3236"/>
        </w:tabs>
        <w:bidi w:val="0"/>
        <w:jc w:val="center"/>
        <w:rPr>
          <w:rFonts w:hint="default" w:ascii="Times New Roman" w:hAnsi="Times New Roman" w:cs="Times New Roman"/>
          <w:sz w:val="24"/>
          <w:szCs w:val="32"/>
        </w:rPr>
      </w:pPr>
      <w:r>
        <w:drawing>
          <wp:inline distT="0" distB="0" distL="114300" distR="114300">
            <wp:extent cx="5273040" cy="3172460"/>
            <wp:effectExtent l="0" t="0" r="3810" b="889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DC296">
      <w:pPr>
        <w:tabs>
          <w:tab w:val="left" w:pos="3236"/>
        </w:tabs>
        <w:bidi w:val="0"/>
        <w:jc w:val="both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Figure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S9.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Photographs of the plate count of capturing different concentrations of V. parahemolyticus.(From left to right, they are positive control, 1.0×10</w:t>
      </w:r>
      <w:r>
        <w:rPr>
          <w:rFonts w:hint="default" w:ascii="Times New Roman" w:hAnsi="Times New Roman" w:cs="Times New Roman"/>
          <w:sz w:val="24"/>
          <w:szCs w:val="32"/>
          <w:vertAlign w:val="superscript"/>
        </w:rPr>
        <w:t>8</w:t>
      </w:r>
      <w:r>
        <w:rPr>
          <w:rFonts w:hint="default" w:ascii="Times New Roman" w:hAnsi="Times New Roman" w:cs="Times New Roman"/>
          <w:sz w:val="24"/>
          <w:szCs w:val="32"/>
        </w:rPr>
        <w:t xml:space="preserve"> CFU/mL、 1.0×10</w:t>
      </w:r>
      <w:r>
        <w:rPr>
          <w:rFonts w:hint="default" w:ascii="Times New Roman" w:hAnsi="Times New Roman" w:cs="Times New Roman"/>
          <w:sz w:val="24"/>
          <w:szCs w:val="32"/>
          <w:vertAlign w:val="superscript"/>
        </w:rPr>
        <w:t>7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CFU/mL、1.0×10</w:t>
      </w:r>
      <w:r>
        <w:rPr>
          <w:rFonts w:hint="default" w:ascii="Times New Roman" w:hAnsi="Times New Roman" w:cs="Times New Roman"/>
          <w:sz w:val="24"/>
          <w:szCs w:val="32"/>
          <w:vertAlign w:val="superscript"/>
        </w:rPr>
        <w:t>6</w:t>
      </w:r>
      <w:r>
        <w:rPr>
          <w:rFonts w:hint="default" w:ascii="Times New Roman" w:hAnsi="Times New Roman" w:cs="Times New Roman"/>
          <w:sz w:val="24"/>
          <w:szCs w:val="32"/>
        </w:rPr>
        <w:t xml:space="preserve"> CFU/mL、1.0×10</w:t>
      </w:r>
      <w:r>
        <w:rPr>
          <w:rFonts w:hint="default" w:ascii="Times New Roman" w:hAnsi="Times New Roman" w:cs="Times New Roman"/>
          <w:sz w:val="24"/>
          <w:szCs w:val="32"/>
          <w:vertAlign w:val="superscript"/>
        </w:rPr>
        <w:t>5</w:t>
      </w:r>
      <w:r>
        <w:rPr>
          <w:rFonts w:hint="default" w:ascii="Times New Roman" w:hAnsi="Times New Roman" w:cs="Times New Roman"/>
          <w:sz w:val="24"/>
          <w:szCs w:val="32"/>
        </w:rPr>
        <w:t xml:space="preserve"> CFU/mL、1.0×10</w:t>
      </w:r>
      <w:r>
        <w:rPr>
          <w:rFonts w:hint="default" w:ascii="Times New Roman" w:hAnsi="Times New Roman" w:cs="Times New Roman"/>
          <w:sz w:val="24"/>
          <w:szCs w:val="32"/>
          <w:vertAlign w:val="superscript"/>
        </w:rPr>
        <w:t>4</w:t>
      </w:r>
      <w:r>
        <w:rPr>
          <w:rFonts w:hint="default" w:ascii="Times New Roman" w:hAnsi="Times New Roman" w:cs="Times New Roman"/>
          <w:sz w:val="24"/>
          <w:szCs w:val="32"/>
        </w:rPr>
        <w:t xml:space="preserve"> CFU/mL).</w:t>
      </w:r>
    </w:p>
    <w:p w14:paraId="2F4A4B2C">
      <w:pPr>
        <w:tabs>
          <w:tab w:val="left" w:pos="3236"/>
        </w:tabs>
        <w:bidi w:val="0"/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14DA597F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248D657F">
      <w:pPr>
        <w:tabs>
          <w:tab w:val="left" w:pos="3236"/>
        </w:tabs>
        <w:bidi w:val="0"/>
        <w:jc w:val="center"/>
      </w:pPr>
      <w:r>
        <w:object>
          <v:shape id="_x0000_i1026" o:spt="75" type="#_x0000_t75" style="height:210.2pt;width:296.5pt;" o:ole="t" fillcolor="#FFFFFF" filled="f" o:preferrelative="t" stroked="f" coordsize="21600,21600">
            <v:path/>
            <v:fill on="f" color2="#FFFFFF" focussize="0,0"/>
            <v:stroke on="f" weight="3pt" color="#000000" color2="#FFFFFF" joinstyle="miter"/>
            <v:imagedata r:id="rId15" croptop="1687f" cropbottom="3162f" grayscale="f" bilevel="f" o:title=""/>
            <o:lock v:ext="edit" aspectratio="t"/>
            <w10:wrap type="none"/>
            <w10:anchorlock/>
          </v:shape>
          <o:OLEObject Type="Embed" ProgID="Origin95.Graph" ShapeID="_x0000_i1026" DrawAspect="Content" ObjectID="_1468075726" r:id="rId14">
            <o:LockedField>false</o:LockedField>
          </o:OLEObject>
        </w:object>
      </w:r>
    </w:p>
    <w:p w14:paraId="01FB4B5E">
      <w:pPr>
        <w:tabs>
          <w:tab w:val="left" w:pos="3236"/>
        </w:tabs>
        <w:bidi w:val="0"/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Figure S10.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Optimization of pH for AuNPs solution.</w:t>
      </w:r>
    </w:p>
    <w:p w14:paraId="15669D96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0AABE261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2E019FFB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30760DC8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3C30F789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0F099C4F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276EACC4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34904FD4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4DF07CF2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74823A4D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442AA98F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70CB1ECA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6B1D534C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41128D1A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341EB5F7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368DCD65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63CA320A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13A699C6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2C0C0080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39052B2D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2A860088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0B95D14B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691447DB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6D837EAA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378C1A6E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38A9DFA4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27310F48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2FE42E80">
      <w:pPr>
        <w:tabs>
          <w:tab w:val="left" w:pos="3236"/>
        </w:tabs>
        <w:bidi w:val="0"/>
        <w:jc w:val="center"/>
        <w:rPr>
          <w:rFonts w:hint="default"/>
          <w:lang w:val="en-US" w:eastAsia="zh-CN"/>
        </w:rPr>
      </w:pPr>
    </w:p>
    <w:p w14:paraId="17F45AC9">
      <w:pPr>
        <w:tabs>
          <w:tab w:val="left" w:pos="3236"/>
        </w:tabs>
        <w:bidi w:val="0"/>
        <w:jc w:val="both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</w:p>
    <w:p w14:paraId="3889E1DD">
      <w:pPr>
        <w:tabs>
          <w:tab w:val="left" w:pos="3236"/>
        </w:tabs>
        <w:bidi w:val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Table S2.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The comparison of the proposed method for the determination of 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>V. parahaemolyticus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with reported ones.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27"/>
        <w:gridCol w:w="1275"/>
        <w:gridCol w:w="1560"/>
        <w:gridCol w:w="1433"/>
        <w:gridCol w:w="1452"/>
      </w:tblGrid>
      <w:tr w14:paraId="50CBBF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  <w:tcBorders>
              <w:top w:val="single" w:color="auto" w:sz="12" w:space="0"/>
              <w:bottom w:val="single" w:color="auto" w:sz="4" w:space="0"/>
            </w:tcBorders>
          </w:tcPr>
          <w:p w14:paraId="3133502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No.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4" w:space="0"/>
            </w:tcBorders>
          </w:tcPr>
          <w:p w14:paraId="1897D20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Methods</w:t>
            </w:r>
          </w:p>
        </w:tc>
        <w:tc>
          <w:tcPr>
            <w:tcW w:w="1275" w:type="dxa"/>
            <w:tcBorders>
              <w:top w:val="single" w:color="auto" w:sz="12" w:space="0"/>
              <w:bottom w:val="single" w:color="auto" w:sz="4" w:space="0"/>
            </w:tcBorders>
          </w:tcPr>
          <w:p w14:paraId="136002F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Samples</w:t>
            </w:r>
          </w:p>
        </w:tc>
        <w:tc>
          <w:tcPr>
            <w:tcW w:w="1560" w:type="dxa"/>
            <w:tcBorders>
              <w:top w:val="single" w:color="auto" w:sz="12" w:space="0"/>
              <w:bottom w:val="single" w:color="auto" w:sz="4" w:space="0"/>
            </w:tcBorders>
          </w:tcPr>
          <w:p w14:paraId="655DD98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LOD</w:t>
            </w:r>
          </w:p>
        </w:tc>
        <w:tc>
          <w:tcPr>
            <w:tcW w:w="1433" w:type="dxa"/>
            <w:tcBorders>
              <w:top w:val="single" w:color="auto" w:sz="12" w:space="0"/>
              <w:bottom w:val="single" w:color="auto" w:sz="4" w:space="0"/>
            </w:tcBorders>
          </w:tcPr>
          <w:p w14:paraId="5C6FD5A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Detection range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4" w:space="0"/>
            </w:tcBorders>
          </w:tcPr>
          <w:p w14:paraId="49655DC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References</w:t>
            </w:r>
          </w:p>
        </w:tc>
      </w:tr>
      <w:tr w14:paraId="425834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</w:tcBorders>
          </w:tcPr>
          <w:p w14:paraId="33744B1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2127" w:type="dxa"/>
            <w:tcBorders>
              <w:top w:val="single" w:color="auto" w:sz="4" w:space="0"/>
            </w:tcBorders>
          </w:tcPr>
          <w:p w14:paraId="0F72B47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Label-free colorimetric method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 w14:paraId="3E80EDCD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Shrimp</w:t>
            </w:r>
          </w:p>
        </w:tc>
        <w:tc>
          <w:tcPr>
            <w:tcW w:w="1560" w:type="dxa"/>
            <w:tcBorders>
              <w:top w:val="single" w:color="auto" w:sz="4" w:space="0"/>
            </w:tcBorders>
          </w:tcPr>
          <w:p w14:paraId="732FA56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6.1× 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CFU/mL</w:t>
            </w:r>
          </w:p>
        </w:tc>
        <w:tc>
          <w:tcPr>
            <w:tcW w:w="1433" w:type="dxa"/>
            <w:tcBorders>
              <w:top w:val="single" w:color="auto" w:sz="4" w:space="0"/>
            </w:tcBorders>
          </w:tcPr>
          <w:p w14:paraId="05E8D7F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-</w:t>
            </w:r>
          </w:p>
        </w:tc>
        <w:tc>
          <w:tcPr>
            <w:tcW w:w="1452" w:type="dxa"/>
            <w:tcBorders>
              <w:top w:val="single" w:color="auto" w:sz="4" w:space="0"/>
            </w:tcBorders>
          </w:tcPr>
          <w:p w14:paraId="50B1716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Chen et al., 2021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</w:tr>
      <w:tr w14:paraId="3364A7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D04EC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2127" w:type="dxa"/>
          </w:tcPr>
          <w:p w14:paraId="6E69F8A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Colorimetric immunoassay</w:t>
            </w:r>
          </w:p>
        </w:tc>
        <w:tc>
          <w:tcPr>
            <w:tcW w:w="1275" w:type="dxa"/>
          </w:tcPr>
          <w:p w14:paraId="72754E3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Marine</w:t>
            </w:r>
          </w:p>
        </w:tc>
        <w:tc>
          <w:tcPr>
            <w:tcW w:w="1560" w:type="dxa"/>
          </w:tcPr>
          <w:p w14:paraId="1946D10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15 CFU/mL</w:t>
            </w:r>
          </w:p>
        </w:tc>
        <w:tc>
          <w:tcPr>
            <w:tcW w:w="1433" w:type="dxa"/>
          </w:tcPr>
          <w:p w14:paraId="4CCDB7C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20 - 10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>4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CFU/ml</w:t>
            </w:r>
          </w:p>
        </w:tc>
        <w:tc>
          <w:tcPr>
            <w:tcW w:w="1452" w:type="dxa"/>
          </w:tcPr>
          <w:p w14:paraId="0B1157D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Liu et al., 2018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</w:tr>
      <w:tr w14:paraId="731511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769A1E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2127" w:type="dxa"/>
          </w:tcPr>
          <w:p w14:paraId="6A74B7E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Multichromatic colorimetric detection method</w:t>
            </w:r>
          </w:p>
        </w:tc>
        <w:tc>
          <w:tcPr>
            <w:tcW w:w="1275" w:type="dxa"/>
          </w:tcPr>
          <w:p w14:paraId="1AC0712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Pure culture</w:t>
            </w:r>
          </w:p>
        </w:tc>
        <w:tc>
          <w:tcPr>
            <w:tcW w:w="1560" w:type="dxa"/>
          </w:tcPr>
          <w:p w14:paraId="63C213F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1.12 CFU/mL</w:t>
            </w:r>
          </w:p>
        </w:tc>
        <w:tc>
          <w:tcPr>
            <w:tcW w:w="1433" w:type="dxa"/>
          </w:tcPr>
          <w:p w14:paraId="27852EB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0 - 10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>4</w:t>
            </w:r>
          </w:p>
          <w:p w14:paraId="3B5F0F7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CFU/ml</w:t>
            </w:r>
          </w:p>
        </w:tc>
        <w:tc>
          <w:tcPr>
            <w:tcW w:w="1452" w:type="dxa"/>
          </w:tcPr>
          <w:p w14:paraId="48E0CC9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Qiao et al., 2024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</w:tr>
      <w:tr w14:paraId="28962A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A57A1C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2127" w:type="dxa"/>
          </w:tcPr>
          <w:p w14:paraId="5EE57E9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One-step label-free colorimetric strategy</w:t>
            </w:r>
          </w:p>
        </w:tc>
        <w:tc>
          <w:tcPr>
            <w:tcW w:w="1275" w:type="dxa"/>
          </w:tcPr>
          <w:p w14:paraId="2536755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Shrimp</w:t>
            </w:r>
          </w:p>
        </w:tc>
        <w:tc>
          <w:tcPr>
            <w:tcW w:w="1560" w:type="dxa"/>
          </w:tcPr>
          <w:p w14:paraId="3541836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CFU/mL</w:t>
            </w:r>
          </w:p>
        </w:tc>
        <w:tc>
          <w:tcPr>
            <w:tcW w:w="1433" w:type="dxa"/>
          </w:tcPr>
          <w:p w14:paraId="2D5B8BC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-</w:t>
            </w:r>
          </w:p>
        </w:tc>
        <w:tc>
          <w:tcPr>
            <w:tcW w:w="1452" w:type="dxa"/>
          </w:tcPr>
          <w:p w14:paraId="2C0DCD9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Wang et al., 2023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</w:tr>
      <w:tr w14:paraId="6F4A51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3E64D0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127" w:type="dxa"/>
          </w:tcPr>
          <w:p w14:paraId="5525A63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LF-NMR/colorimetric dual-mode homogeneous immunosensor</w:t>
            </w:r>
          </w:p>
        </w:tc>
        <w:tc>
          <w:tcPr>
            <w:tcW w:w="1275" w:type="dxa"/>
          </w:tcPr>
          <w:p w14:paraId="206646F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East Sea seawater and fish</w:t>
            </w:r>
          </w:p>
        </w:tc>
        <w:tc>
          <w:tcPr>
            <w:tcW w:w="1560" w:type="dxa"/>
          </w:tcPr>
          <w:p w14:paraId="0EBCB03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100 CFU/mL</w:t>
            </w:r>
          </w:p>
        </w:tc>
        <w:tc>
          <w:tcPr>
            <w:tcW w:w="1433" w:type="dxa"/>
          </w:tcPr>
          <w:p w14:paraId="77C21DC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 xml:space="preserve">3 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- 10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>8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CFU/mL</w:t>
            </w:r>
          </w:p>
        </w:tc>
        <w:tc>
          <w:tcPr>
            <w:tcW w:w="1452" w:type="dxa"/>
          </w:tcPr>
          <w:p w14:paraId="6CFE352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Zhang et al., 2024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</w:tr>
      <w:tr w14:paraId="286225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16C30B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2127" w:type="dxa"/>
          </w:tcPr>
          <w:p w14:paraId="31453A1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Colorimetric aptasensor</w:t>
            </w:r>
          </w:p>
        </w:tc>
        <w:tc>
          <w:tcPr>
            <w:tcW w:w="1275" w:type="dxa"/>
          </w:tcPr>
          <w:p w14:paraId="47D1531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Water</w:t>
            </w:r>
          </w:p>
        </w:tc>
        <w:tc>
          <w:tcPr>
            <w:tcW w:w="1560" w:type="dxa"/>
          </w:tcPr>
          <w:p w14:paraId="446CE2E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10 CFU/mL</w:t>
            </w:r>
          </w:p>
        </w:tc>
        <w:tc>
          <w:tcPr>
            <w:tcW w:w="1433" w:type="dxa"/>
          </w:tcPr>
          <w:p w14:paraId="2048CFE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10 - 10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 xml:space="preserve">6 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CFU/mL</w:t>
            </w:r>
          </w:p>
        </w:tc>
        <w:tc>
          <w:tcPr>
            <w:tcW w:w="1452" w:type="dxa"/>
          </w:tcPr>
          <w:p w14:paraId="245D3FB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Wu et al., 2015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</w:tr>
      <w:tr w14:paraId="0C0F66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3427D5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bookmarkStart w:id="0" w:name="_Hlk158889245"/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127" w:type="dxa"/>
          </w:tcPr>
          <w:p w14:paraId="63E8F47D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Colorimetric-integrated PCR</w:t>
            </w:r>
          </w:p>
        </w:tc>
        <w:tc>
          <w:tcPr>
            <w:tcW w:w="1275" w:type="dxa"/>
          </w:tcPr>
          <w:p w14:paraId="7AF83EA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Pure culture</w:t>
            </w:r>
          </w:p>
        </w:tc>
        <w:tc>
          <w:tcPr>
            <w:tcW w:w="1560" w:type="dxa"/>
          </w:tcPr>
          <w:p w14:paraId="2088149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2.9×10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>4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CFU/mL</w:t>
            </w:r>
          </w:p>
        </w:tc>
        <w:tc>
          <w:tcPr>
            <w:tcW w:w="1433" w:type="dxa"/>
          </w:tcPr>
          <w:p w14:paraId="1F8B886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</w:pPr>
            <w:bookmarkStart w:id="1" w:name="_Hlk158889219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2.2×10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 xml:space="preserve">5 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- 3.4 ×10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>5</w:t>
            </w:r>
          </w:p>
          <w:p w14:paraId="46FCA83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CFU/mL</w:t>
            </w:r>
            <w:bookmarkEnd w:id="1"/>
          </w:p>
        </w:tc>
        <w:tc>
          <w:tcPr>
            <w:tcW w:w="1452" w:type="dxa"/>
          </w:tcPr>
          <w:p w14:paraId="65CD324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Cheng et al., 2016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</w:tr>
      <w:bookmarkEnd w:id="0"/>
      <w:tr w14:paraId="2F354C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5EC595B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127" w:type="dxa"/>
          </w:tcPr>
          <w:p w14:paraId="172CC7EF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Colorimetric immunoassay</w:t>
            </w:r>
          </w:p>
        </w:tc>
        <w:tc>
          <w:tcPr>
            <w:tcW w:w="1275" w:type="dxa"/>
          </w:tcPr>
          <w:p w14:paraId="2BFEE76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Pure culture</w:t>
            </w:r>
          </w:p>
        </w:tc>
        <w:tc>
          <w:tcPr>
            <w:tcW w:w="1560" w:type="dxa"/>
          </w:tcPr>
          <w:p w14:paraId="6D01250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10 CFU/mL</w:t>
            </w:r>
          </w:p>
        </w:tc>
        <w:tc>
          <w:tcPr>
            <w:tcW w:w="1433" w:type="dxa"/>
          </w:tcPr>
          <w:p w14:paraId="5FF55A1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10 - 10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 xml:space="preserve">6 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CFU/mL</w:t>
            </w:r>
          </w:p>
        </w:tc>
        <w:tc>
          <w:tcPr>
            <w:tcW w:w="1452" w:type="dxa"/>
          </w:tcPr>
          <w:p w14:paraId="628F517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Fu et al., 2018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)</w:t>
            </w:r>
          </w:p>
        </w:tc>
      </w:tr>
      <w:tr w14:paraId="19105A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BAFD0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2127" w:type="dxa"/>
          </w:tcPr>
          <w:p w14:paraId="628AD8B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G-quadruplex-induced colorimetric method</w:t>
            </w:r>
          </w:p>
        </w:tc>
        <w:tc>
          <w:tcPr>
            <w:tcW w:w="1275" w:type="dxa"/>
          </w:tcPr>
          <w:p w14:paraId="03A84A5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Pure culture</w:t>
            </w:r>
          </w:p>
          <w:p w14:paraId="6A3869A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/Oyster</w:t>
            </w:r>
          </w:p>
        </w:tc>
        <w:tc>
          <w:tcPr>
            <w:tcW w:w="1560" w:type="dxa"/>
          </w:tcPr>
          <w:p w14:paraId="113A368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3.02 CFU/mL</w:t>
            </w:r>
          </w:p>
          <w:p w14:paraId="014A095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/54.95 CFU/mL</w:t>
            </w:r>
          </w:p>
        </w:tc>
        <w:tc>
          <w:tcPr>
            <w:tcW w:w="1433" w:type="dxa"/>
          </w:tcPr>
          <w:p w14:paraId="10545E7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10 - 10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perscript"/>
              </w:rPr>
              <w:t>7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CFU/mL</w:t>
            </w:r>
          </w:p>
        </w:tc>
        <w:tc>
          <w:tcPr>
            <w:tcW w:w="1452" w:type="dxa"/>
          </w:tcPr>
          <w:p w14:paraId="0FB7CBC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This study</w:t>
            </w:r>
          </w:p>
        </w:tc>
      </w:tr>
    </w:tbl>
    <w:p w14:paraId="100F2ADB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6EC57F9B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218876A1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3F108D3E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4CBD5E07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57F26716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7EEC5104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6DA9AAF5">
      <w:pPr>
        <w:bidi w:val="0"/>
        <w:jc w:val="left"/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32"/>
          <w:lang w:val="en-US" w:eastAsia="zh-CN" w:bidi="ar-SA"/>
        </w:rPr>
        <w:t>References</w:t>
      </w:r>
    </w:p>
    <w:p w14:paraId="288EA828">
      <w:pPr>
        <w:pStyle w:val="6"/>
        <w:spacing w:line="360" w:lineRule="auto"/>
        <w:ind w:left="720" w:hanging="720"/>
        <w:rPr>
          <w:rFonts w:hint="default" w:ascii="Times New Roman" w:hAnsi="Times New Roman" w:cs="Times New Roman"/>
          <w:sz w:val="24"/>
          <w:szCs w:val="24"/>
        </w:rPr>
      </w:pPr>
      <w:bookmarkStart w:id="2" w:name="_ENREF_3"/>
      <w:r>
        <w:rPr>
          <w:rFonts w:hint="default" w:ascii="Times New Roman" w:hAnsi="Times New Roman" w:cs="Times New Roman"/>
          <w:sz w:val="24"/>
          <w:szCs w:val="24"/>
        </w:rPr>
        <w:t>Chen X, Wang L, He F, Chen G, Bai L, He K, Zhang F, Xu X (2021). Label-Free Colorimetric Method for Detection of Vibrio parahaemolyticus by Trimming the G-Quadruplex DNAzyme with CRISPR/Cas12a. Anal Chem [J], 93: 14300-14306.https://doi.org/10.1021/acs.analchem.1c03468</w:t>
      </w:r>
      <w:bookmarkEnd w:id="2"/>
    </w:p>
    <w:p w14:paraId="087B0CF9">
      <w:pPr>
        <w:pStyle w:val="6"/>
        <w:spacing w:line="360" w:lineRule="auto"/>
        <w:ind w:left="720" w:hanging="720"/>
        <w:rPr>
          <w:rFonts w:hint="default" w:ascii="Times New Roman" w:hAnsi="Times New Roman" w:cs="Times New Roman"/>
          <w:sz w:val="24"/>
          <w:szCs w:val="24"/>
        </w:rPr>
      </w:pPr>
      <w:bookmarkStart w:id="3" w:name="_ENREF_17"/>
      <w:r>
        <w:rPr>
          <w:rFonts w:hint="default" w:ascii="Times New Roman" w:hAnsi="Times New Roman" w:cs="Times New Roman"/>
          <w:sz w:val="24"/>
          <w:szCs w:val="24"/>
        </w:rPr>
        <w:t>Liu P, Han L, Wang F, Li X, Petrenko V A, Liu A (2018b). Sensitive colorimetric immunoassay of Vibrio parahaemolyticus based on specific nonapeptide probe screening from a phage display library conjugated with MnO(2) nanosheets with peroxidase-like activity. Nanoscale [J], 10: 2825-2833.https://doi.org/10.1039/c7nr06633c</w:t>
      </w:r>
      <w:bookmarkEnd w:id="3"/>
    </w:p>
    <w:p w14:paraId="5397F59C">
      <w:pPr>
        <w:pStyle w:val="6"/>
        <w:spacing w:line="360" w:lineRule="auto"/>
        <w:ind w:left="720" w:hanging="720"/>
        <w:rPr>
          <w:rFonts w:hint="default" w:ascii="Times New Roman" w:hAnsi="Times New Roman" w:cs="Times New Roman"/>
          <w:sz w:val="24"/>
          <w:szCs w:val="24"/>
        </w:rPr>
      </w:pPr>
      <w:bookmarkStart w:id="4" w:name="_ENREF_20"/>
      <w:r>
        <w:rPr>
          <w:rFonts w:hint="default" w:ascii="Times New Roman" w:hAnsi="Times New Roman" w:cs="Times New Roman"/>
          <w:sz w:val="24"/>
          <w:szCs w:val="24"/>
        </w:rPr>
        <w:t>Qiao W, Wang L, Yang K, Liu Y, Liu Q, Yin F (2024). A multichromatic colorimetric detection method for Vibrio parahaemolyticus based on Fe(3)O(4)-Zn-Mn nanoenzyme and dual substrates. Microbiol Spectr [J], 12: e0318923.https://doi.org/10.1128/spectrum.03189-23</w:t>
      </w:r>
      <w:bookmarkEnd w:id="4"/>
    </w:p>
    <w:p w14:paraId="1A0535E1">
      <w:pPr>
        <w:pStyle w:val="6"/>
        <w:spacing w:line="360" w:lineRule="auto"/>
        <w:ind w:left="720" w:hanging="720"/>
        <w:rPr>
          <w:rFonts w:hint="default" w:ascii="Times New Roman" w:hAnsi="Times New Roman" w:cs="Times New Roman"/>
          <w:sz w:val="24"/>
          <w:szCs w:val="24"/>
        </w:rPr>
      </w:pPr>
      <w:bookmarkStart w:id="5" w:name="_ENREF_24"/>
      <w:r>
        <w:rPr>
          <w:rFonts w:hint="default" w:ascii="Times New Roman" w:hAnsi="Times New Roman" w:cs="Times New Roman"/>
          <w:sz w:val="24"/>
          <w:szCs w:val="24"/>
        </w:rPr>
        <w:t>Wang P, Yu G, Wei J, Liao X, Zhang Y, Ren Y, Zhang C, Wang Y, Zhang D, Wang J, Wang Y (2023). A single thiolated-phage displayed nanobody-based biosensor for label-free detection of foodborne pathogen. J Hazard Mater [J], 443: 130157.https://doi.org/10.1016/j.jhazmat.2022.130157</w:t>
      </w:r>
      <w:bookmarkEnd w:id="5"/>
    </w:p>
    <w:p w14:paraId="78848EAD">
      <w:pPr>
        <w:pStyle w:val="6"/>
        <w:spacing w:line="360" w:lineRule="auto"/>
        <w:ind w:left="720" w:hanging="720"/>
        <w:rPr>
          <w:rFonts w:hint="default" w:ascii="Times New Roman" w:hAnsi="Times New Roman" w:cs="Times New Roman"/>
          <w:sz w:val="24"/>
          <w:szCs w:val="24"/>
        </w:rPr>
      </w:pPr>
      <w:bookmarkStart w:id="6" w:name="_ENREF_27"/>
      <w:r>
        <w:rPr>
          <w:rFonts w:hint="default" w:ascii="Times New Roman" w:hAnsi="Times New Roman" w:cs="Times New Roman"/>
          <w:sz w:val="24"/>
          <w:szCs w:val="24"/>
        </w:rPr>
        <w:t>Zhang D, Chen L, Lin H, Hao T, Wu Y, Xie J, Shi X, Jiang X, Guo Z (2024). Well plate-based LF-NMR/colorimetric dual-mode homogeneous immunosensor for Vibrio parahaemolyticus detection. Food Chem [J], 436: 137757.https://doi.org/10.1016/j.foodchem.2023.137757</w:t>
      </w:r>
      <w:bookmarkEnd w:id="6"/>
    </w:p>
    <w:p w14:paraId="54F0C683">
      <w:pPr>
        <w:pStyle w:val="6"/>
        <w:spacing w:line="360" w:lineRule="auto"/>
        <w:ind w:left="720" w:hanging="720"/>
        <w:rPr>
          <w:rFonts w:hint="default" w:ascii="Times New Roman" w:hAnsi="Times New Roman" w:cs="Times New Roman"/>
          <w:sz w:val="24"/>
          <w:szCs w:val="24"/>
        </w:rPr>
      </w:pPr>
      <w:bookmarkStart w:id="7" w:name="_ENREF_25"/>
      <w:r>
        <w:rPr>
          <w:rFonts w:hint="default" w:ascii="Times New Roman" w:hAnsi="Times New Roman" w:cs="Times New Roman"/>
          <w:sz w:val="24"/>
          <w:szCs w:val="24"/>
        </w:rPr>
        <w:t>Wu S, Wang Y, Duan N, Ma H, Wang Z (2015). Colorimetric Aptasensor Based on Enzyme for the Detection of Vibrio parahemolyticus. J Agric Food Chem [J], 63: 7849-7854.https://doi.org/10.1021/acs.jafc.5b03224</w:t>
      </w:r>
      <w:bookmarkEnd w:id="7"/>
    </w:p>
    <w:p w14:paraId="0C24045A">
      <w:pPr>
        <w:pStyle w:val="6"/>
        <w:spacing w:line="360" w:lineRule="auto"/>
        <w:ind w:left="720" w:hanging="7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Cheng K, Pan D, Teng J, Yao L, Ye Y, Xue F, Xia F, Chen W (2016). Colorimetric Integrated PCR Protocol for Rapid Detection of Vibrio parahaemolyticus. Sensors (Basel) [J], 16.https://doi.org/10.3390/s16101600</w:t>
      </w:r>
    </w:p>
    <w:p w14:paraId="5FA58540">
      <w:pPr>
        <w:pStyle w:val="6"/>
        <w:spacing w:line="360" w:lineRule="auto"/>
        <w:ind w:left="720" w:hanging="720"/>
        <w:rPr>
          <w:rFonts w:hint="default" w:ascii="Times New Roman" w:hAnsi="Times New Roman" w:cs="Times New Roman"/>
          <w:sz w:val="24"/>
          <w:szCs w:val="24"/>
        </w:rPr>
      </w:pPr>
      <w:bookmarkStart w:id="8" w:name="_ENREF_7"/>
      <w:r>
        <w:rPr>
          <w:rFonts w:hint="default" w:ascii="Times New Roman" w:hAnsi="Times New Roman" w:cs="Times New Roman"/>
          <w:sz w:val="24"/>
          <w:szCs w:val="24"/>
        </w:rPr>
        <w:t>Fu K, Zheng Y, Li J, Liu Y, Pang B, Song X, Xu K, Wang J, Zhao C (2018). Colorimetric Immunoassay for Rapid Detection of Vibrio parahemolyticus Based on Mn(2+) Mediates the Assembly of Gold Nanoparticles. J Agric Food Chem [J], 66: 9516-9521.https://doi.org/10.1021/acs.jafc.8b02494</w:t>
      </w:r>
      <w:bookmarkEnd w:id="8"/>
    </w:p>
    <w:p w14:paraId="0AE96D10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254C2"/>
    <w:rsid w:val="01EA2533"/>
    <w:rsid w:val="027F4D04"/>
    <w:rsid w:val="059C18BA"/>
    <w:rsid w:val="05F81055"/>
    <w:rsid w:val="06053772"/>
    <w:rsid w:val="063D115E"/>
    <w:rsid w:val="06E8731C"/>
    <w:rsid w:val="072C44ED"/>
    <w:rsid w:val="073D1139"/>
    <w:rsid w:val="09F47B7D"/>
    <w:rsid w:val="0A051F93"/>
    <w:rsid w:val="0BC90247"/>
    <w:rsid w:val="0BF91683"/>
    <w:rsid w:val="0F8676D2"/>
    <w:rsid w:val="10B6001E"/>
    <w:rsid w:val="11A254C2"/>
    <w:rsid w:val="154B270D"/>
    <w:rsid w:val="1864257A"/>
    <w:rsid w:val="1C297D63"/>
    <w:rsid w:val="1C646FED"/>
    <w:rsid w:val="1E05035C"/>
    <w:rsid w:val="1FE741BD"/>
    <w:rsid w:val="219A525F"/>
    <w:rsid w:val="22BE6D2B"/>
    <w:rsid w:val="24DB5972"/>
    <w:rsid w:val="271A243E"/>
    <w:rsid w:val="28E76FDC"/>
    <w:rsid w:val="29791BFE"/>
    <w:rsid w:val="29910CF5"/>
    <w:rsid w:val="29DB6414"/>
    <w:rsid w:val="2A391AB9"/>
    <w:rsid w:val="2B7F799F"/>
    <w:rsid w:val="2BEA293F"/>
    <w:rsid w:val="2DB31B82"/>
    <w:rsid w:val="2DCA4F71"/>
    <w:rsid w:val="2FA5081D"/>
    <w:rsid w:val="2FD162F0"/>
    <w:rsid w:val="2FF65D56"/>
    <w:rsid w:val="306929CC"/>
    <w:rsid w:val="30D75B88"/>
    <w:rsid w:val="30F009F7"/>
    <w:rsid w:val="316D2048"/>
    <w:rsid w:val="323D1A32"/>
    <w:rsid w:val="33B51A84"/>
    <w:rsid w:val="34050C5E"/>
    <w:rsid w:val="349A0D17"/>
    <w:rsid w:val="350C3E15"/>
    <w:rsid w:val="352E5F92"/>
    <w:rsid w:val="355F614C"/>
    <w:rsid w:val="37BE766B"/>
    <w:rsid w:val="3905700A"/>
    <w:rsid w:val="3AC53994"/>
    <w:rsid w:val="3B1B2B15"/>
    <w:rsid w:val="3C352ED2"/>
    <w:rsid w:val="3CC66AB0"/>
    <w:rsid w:val="3F5D36FC"/>
    <w:rsid w:val="40A22996"/>
    <w:rsid w:val="40F55BB6"/>
    <w:rsid w:val="45EC0B45"/>
    <w:rsid w:val="46FD57C4"/>
    <w:rsid w:val="4AAE12AF"/>
    <w:rsid w:val="4ABD14F2"/>
    <w:rsid w:val="4B416863"/>
    <w:rsid w:val="4E232905"/>
    <w:rsid w:val="4FB56C3C"/>
    <w:rsid w:val="4FDF015D"/>
    <w:rsid w:val="526606C2"/>
    <w:rsid w:val="527F1783"/>
    <w:rsid w:val="52F55D8A"/>
    <w:rsid w:val="533F31EB"/>
    <w:rsid w:val="556711FE"/>
    <w:rsid w:val="559519EA"/>
    <w:rsid w:val="55D22AF2"/>
    <w:rsid w:val="565F3DA6"/>
    <w:rsid w:val="56BB686A"/>
    <w:rsid w:val="572172AD"/>
    <w:rsid w:val="585D60C3"/>
    <w:rsid w:val="58B72D5D"/>
    <w:rsid w:val="5CEA4A67"/>
    <w:rsid w:val="5E5E4943"/>
    <w:rsid w:val="61276AD0"/>
    <w:rsid w:val="61E1460D"/>
    <w:rsid w:val="63641E96"/>
    <w:rsid w:val="637864A7"/>
    <w:rsid w:val="63B82D47"/>
    <w:rsid w:val="64651B4D"/>
    <w:rsid w:val="657D7DA4"/>
    <w:rsid w:val="6A3F6931"/>
    <w:rsid w:val="6CE801F9"/>
    <w:rsid w:val="6D172769"/>
    <w:rsid w:val="6D6768B3"/>
    <w:rsid w:val="6DE94667"/>
    <w:rsid w:val="711E68DF"/>
    <w:rsid w:val="71B608C6"/>
    <w:rsid w:val="72D059B7"/>
    <w:rsid w:val="72DA4A88"/>
    <w:rsid w:val="731B41FE"/>
    <w:rsid w:val="7396721F"/>
    <w:rsid w:val="73C649E3"/>
    <w:rsid w:val="758B125C"/>
    <w:rsid w:val="76592168"/>
    <w:rsid w:val="768E0DAD"/>
    <w:rsid w:val="78397B5B"/>
    <w:rsid w:val="78B813C8"/>
    <w:rsid w:val="78FB3062"/>
    <w:rsid w:val="7A121EA3"/>
    <w:rsid w:val="7A3410D9"/>
    <w:rsid w:val="7A5451A9"/>
    <w:rsid w:val="7A770E0E"/>
    <w:rsid w:val="7C7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论文正文"/>
    <w:basedOn w:val="1"/>
    <w:qFormat/>
    <w:uiPriority w:val="0"/>
    <w:pPr>
      <w:spacing w:line="360" w:lineRule="auto"/>
      <w:ind w:firstLine="200" w:firstLineChars="200"/>
    </w:pPr>
    <w:rPr>
      <w:rFonts w:eastAsiaTheme="minorEastAsia"/>
      <w:sz w:val="24"/>
      <w:szCs w:val="24"/>
      <w:lang w:eastAsia="zh-Hans"/>
    </w:rPr>
  </w:style>
  <w:style w:type="paragraph" w:customStyle="1" w:styleId="6">
    <w:name w:val="EndNote Bibliography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emf"/><Relationship Id="rId7" Type="http://schemas.openxmlformats.org/officeDocument/2006/relationships/oleObject" Target="embeddings/oleObject1.bin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emf"/><Relationship Id="rId14" Type="http://schemas.openxmlformats.org/officeDocument/2006/relationships/oleObject" Target="embeddings/oleObject2.bin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785</Words>
  <Characters>4835</Characters>
  <Lines>0</Lines>
  <Paragraphs>0</Paragraphs>
  <TotalTime>1</TotalTime>
  <ScaleCrop>false</ScaleCrop>
  <LinksUpToDate>false</LinksUpToDate>
  <CharactersWithSpaces>5509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2026-01-21T10:08:00Z</dcterms:created>
  <dc:creator>QWT</dc:creator>
  <cp:lastModifiedBy>QWT</cp:lastModifiedBy>
  <dcterms:modified xsi:type="dcterms:W3CDTF">2026-03-19T00:36:21Z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46C96F1226AC45BE8D18C03A3067AF4D_11</vt:lpwstr>
  </property>
  <property fmtid="{D5CDD505-2E9C-101B-9397-08002B2CF9AE}" pid="4" name="KSOTemplateDocerSaveRecord">
    <vt:lpwstr>eyJoZGlkIjoiNTVlODg4ZmMxMjBjYjI2MTBkODFiYzhiY2FmMTJjNWQiLCJ1c2VySWQiOiIzMzQ2MjExNDEifQ==</vt:lpwstr>
  </property>
</Properties>
</file>