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28F" w:rsidRPr="0071528F" w:rsidRDefault="0071528F" w:rsidP="0071528F">
      <w:pPr>
        <w:jc w:val="center"/>
        <w:rPr>
          <w:b/>
          <w:bCs/>
          <w:sz w:val="28"/>
          <w:szCs w:val="28"/>
        </w:rPr>
      </w:pPr>
      <w:r w:rsidRPr="0051164D">
        <w:rPr>
          <w:rFonts w:hint="eastAsia"/>
          <w:b/>
          <w:bCs/>
          <w:sz w:val="28"/>
          <w:szCs w:val="28"/>
        </w:rPr>
        <w:t>S</w:t>
      </w:r>
      <w:r w:rsidRPr="0051164D">
        <w:rPr>
          <w:b/>
          <w:bCs/>
          <w:sz w:val="28"/>
          <w:szCs w:val="28"/>
        </w:rPr>
        <w:t xml:space="preserve">upplementary </w:t>
      </w:r>
      <w:r>
        <w:rPr>
          <w:rFonts w:hint="eastAsia"/>
          <w:b/>
          <w:bCs/>
          <w:sz w:val="28"/>
          <w:szCs w:val="28"/>
        </w:rPr>
        <w:t>material</w:t>
      </w:r>
    </w:p>
    <w:p w:rsidR="0040687C" w:rsidRPr="006D3E77" w:rsidRDefault="0040687C" w:rsidP="0040687C">
      <w:pPr>
        <w:spacing w:line="480" w:lineRule="auto"/>
        <w:outlineLvl w:val="1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Error Analysis</w:t>
      </w:r>
    </w:p>
    <w:p w:rsidR="007127A1" w:rsidRDefault="0040687C" w:rsidP="007127A1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 w:rsidRPr="00E34998">
        <w:rPr>
          <w:rFonts w:cs="Times New Roman"/>
          <w:color w:val="00B050"/>
          <w:sz w:val="24"/>
          <w:szCs w:val="24"/>
        </w:rPr>
        <w:t>Table S1</w:t>
      </w:r>
      <w:r w:rsidRPr="00DC3C08">
        <w:rPr>
          <w:rFonts w:cs="Times New Roman"/>
          <w:sz w:val="24"/>
          <w:szCs w:val="24"/>
        </w:rPr>
        <w:t xml:space="preserve"> shows the converging evolution of the integral value with increasing the order of Taylor expansion. Most of the values converge within a relative error of 1‰ when the Taylor order is larger than 4. A </w:t>
      </w:r>
      <w:r>
        <w:rPr>
          <w:rFonts w:cs="Times New Roman"/>
          <w:sz w:val="24"/>
          <w:szCs w:val="24"/>
        </w:rPr>
        <w:t>relative</w:t>
      </w:r>
      <w:r w:rsidRPr="00DC3C08">
        <w:rPr>
          <w:rFonts w:cs="Times New Roman"/>
          <w:sz w:val="24"/>
          <w:szCs w:val="24"/>
        </w:rPr>
        <w:t xml:space="preserve"> error within 10</w:t>
      </w:r>
      <w:r w:rsidRPr="00DC3C08">
        <w:rPr>
          <w:rFonts w:cs="Times New Roman"/>
          <w:sz w:val="24"/>
          <w:szCs w:val="24"/>
          <w:vertAlign w:val="superscript"/>
        </w:rPr>
        <w:t>-8</w:t>
      </w:r>
      <w:r w:rsidRPr="00DC3C08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can</w:t>
      </w:r>
      <w:r w:rsidRPr="00DC3C08">
        <w:rPr>
          <w:rFonts w:cs="Times New Roman"/>
          <w:sz w:val="24"/>
          <w:szCs w:val="24"/>
        </w:rPr>
        <w:t xml:space="preserve"> reach wh</w:t>
      </w:r>
      <w:r>
        <w:rPr>
          <w:rFonts w:cs="Times New Roman"/>
          <w:sz w:val="24"/>
          <w:szCs w:val="24"/>
        </w:rPr>
        <w:t>en</w:t>
      </w:r>
      <w:r w:rsidRPr="00DC3C08">
        <w:rPr>
          <w:rFonts w:cs="Times New Roman"/>
          <w:sz w:val="24"/>
          <w:szCs w:val="24"/>
        </w:rPr>
        <w:t xml:space="preserve"> the Taylor order </w:t>
      </w:r>
      <w:r>
        <w:rPr>
          <w:rFonts w:cs="Times New Roman"/>
          <w:sz w:val="24"/>
          <w:szCs w:val="24"/>
        </w:rPr>
        <w:t>increases</w:t>
      </w:r>
      <w:r w:rsidRPr="00DC3C08">
        <w:rPr>
          <w:rFonts w:cs="Times New Roman"/>
          <w:sz w:val="24"/>
          <w:szCs w:val="24"/>
        </w:rPr>
        <w:t xml:space="preserve"> to 10. In order to avoid any possible errors, the 3D image (</w:t>
      </w:r>
      <w:r w:rsidR="003A36B8">
        <w:rPr>
          <w:rFonts w:cs="Times New Roman"/>
          <w:color w:val="00B050"/>
          <w:sz w:val="24"/>
          <w:szCs w:val="24"/>
        </w:rPr>
        <w:t>Figure 1</w:t>
      </w:r>
      <w:r w:rsidR="006A57AB">
        <w:rPr>
          <w:rFonts w:cs="Times New Roman"/>
          <w:color w:val="00B050"/>
          <w:sz w:val="24"/>
          <w:szCs w:val="24"/>
        </w:rPr>
        <w:t>a</w:t>
      </w:r>
      <w:r w:rsidRPr="00DC3C08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 xml:space="preserve"> </w:t>
      </w:r>
      <w:r w:rsidRPr="00DC3C08">
        <w:rPr>
          <w:rFonts w:cs="Times New Roman"/>
          <w:sz w:val="24"/>
          <w:szCs w:val="24"/>
        </w:rPr>
        <w:t>of the integral func</w:t>
      </w:r>
      <w:r>
        <w:rPr>
          <w:rFonts w:cs="Times New Roman"/>
          <w:sz w:val="24"/>
          <w:szCs w:val="24"/>
        </w:rPr>
        <w:t>tion is established based on</w:t>
      </w:r>
      <w:r w:rsidRPr="00DC3C08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200×20</w:t>
      </w:r>
      <w:r w:rsidRPr="00DC3C08">
        <w:rPr>
          <w:rFonts w:cs="Times New Roman"/>
          <w:sz w:val="24"/>
          <w:szCs w:val="24"/>
        </w:rPr>
        <w:t xml:space="preserve">0 calculation nodes, and each node is computed with </w:t>
      </w:r>
      <w:r>
        <w:rPr>
          <w:rFonts w:cs="Times New Roman"/>
          <w:sz w:val="24"/>
          <w:szCs w:val="24"/>
        </w:rPr>
        <w:t>a</w:t>
      </w:r>
      <w:r w:rsidRPr="00DC3C08">
        <w:rPr>
          <w:rFonts w:cs="Times New Roman"/>
          <w:sz w:val="24"/>
          <w:szCs w:val="24"/>
        </w:rPr>
        <w:t xml:space="preserve"> Taylor order of 20.</w:t>
      </w:r>
    </w:p>
    <w:p w:rsidR="003A36B8" w:rsidRDefault="003A36B8" w:rsidP="007127A1">
      <w:pPr>
        <w:spacing w:line="480" w:lineRule="auto"/>
        <w:rPr>
          <w:rFonts w:cs="Times New Roman"/>
          <w:sz w:val="24"/>
          <w:szCs w:val="24"/>
        </w:rPr>
        <w:sectPr w:rsidR="003A36B8" w:rsidSect="007127A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A36B8" w:rsidRDefault="003A36B8" w:rsidP="003A36B8"/>
    <w:p w:rsidR="003A36B8" w:rsidRPr="00AA1E07" w:rsidRDefault="003A36B8" w:rsidP="00F4009C">
      <w:pPr>
        <w:spacing w:line="480" w:lineRule="auto"/>
        <w:jc w:val="center"/>
        <w:outlineLvl w:val="0"/>
        <w:rPr>
          <w:rFonts w:cs="Times New Roman"/>
          <w:b/>
          <w:color w:val="00B050"/>
          <w:sz w:val="24"/>
          <w:szCs w:val="24"/>
        </w:rPr>
      </w:pPr>
      <w:r w:rsidRPr="00AA1E07">
        <w:rPr>
          <w:rFonts w:cs="Times New Roman" w:hint="eastAsia"/>
          <w:b/>
          <w:color w:val="00B050"/>
          <w:sz w:val="24"/>
          <w:szCs w:val="24"/>
        </w:rPr>
        <w:t>T</w:t>
      </w:r>
      <w:r w:rsidRPr="00AA1E07">
        <w:rPr>
          <w:rFonts w:cs="Times New Roman"/>
          <w:b/>
          <w:color w:val="00B050"/>
          <w:sz w:val="24"/>
          <w:szCs w:val="24"/>
        </w:rPr>
        <w:t xml:space="preserve">able S1 The integral values of Boltzmann factor with varying Taylor order </w:t>
      </w:r>
      <w:r w:rsidRPr="00AA1E07">
        <w:rPr>
          <w:rFonts w:cs="Times New Roman"/>
          <w:b/>
          <w:i/>
          <w:iCs/>
          <w:color w:val="00B050"/>
          <w:sz w:val="24"/>
          <w:szCs w:val="24"/>
        </w:rPr>
        <w:t>n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122"/>
        <w:gridCol w:w="1598"/>
        <w:gridCol w:w="1559"/>
        <w:gridCol w:w="1755"/>
        <w:gridCol w:w="1559"/>
        <w:gridCol w:w="1364"/>
        <w:gridCol w:w="1559"/>
        <w:gridCol w:w="1755"/>
        <w:gridCol w:w="1677"/>
      </w:tblGrid>
      <w:tr w:rsidR="003A36B8" w:rsidRPr="00F10646" w:rsidTr="003A36B8">
        <w:trPr>
          <w:trHeight w:val="111"/>
          <w:jc w:val="center"/>
        </w:trPr>
        <w:tc>
          <w:tcPr>
            <w:tcW w:w="402" w:type="pct"/>
            <w:vMerge w:val="restar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 xml:space="preserve">aylor order </w:t>
            </w:r>
            <w:r w:rsidRPr="00F10646">
              <w:rPr>
                <w:rFonts w:cs="Times New Roman"/>
                <w:i/>
                <w:iCs/>
                <w:szCs w:val="21"/>
              </w:rPr>
              <w:t>n</w:t>
            </w:r>
          </w:p>
        </w:tc>
        <w:tc>
          <w:tcPr>
            <w:tcW w:w="1132" w:type="pct"/>
            <w:gridSpan w:val="2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 J/mol</w:t>
            </w:r>
          </w:p>
        </w:tc>
        <w:tc>
          <w:tcPr>
            <w:tcW w:w="1188" w:type="pct"/>
            <w:gridSpan w:val="2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 J/mol</w:t>
            </w:r>
          </w:p>
        </w:tc>
        <w:tc>
          <w:tcPr>
            <w:tcW w:w="1048" w:type="pct"/>
            <w:gridSpan w:val="2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=20000 J/mol</w:t>
            </w:r>
          </w:p>
        </w:tc>
        <w:tc>
          <w:tcPr>
            <w:tcW w:w="1230" w:type="pct"/>
            <w:gridSpan w:val="2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=200000 J/mol</w:t>
            </w:r>
          </w:p>
        </w:tc>
      </w:tr>
      <w:tr w:rsidR="003A36B8" w:rsidRPr="00F10646" w:rsidTr="003A36B8">
        <w:trPr>
          <w:trHeight w:val="110"/>
          <w:jc w:val="center"/>
        </w:trPr>
        <w:tc>
          <w:tcPr>
            <w:tcW w:w="402" w:type="pct"/>
            <w:vMerge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62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48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629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601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301.82115578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901.64929838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284.65221331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867.71805582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1.47187736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41.45574855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1.11339239E-17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6.64568260E-08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2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301.83262904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901.66613166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285.72844879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869.31399874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1.84315996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44.66857854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2.03501118E-17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9.66472837E-08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3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301.83160096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901.66487181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285.63545060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869.19891467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1.88712698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44.76038220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3.15684847E-17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1.05477139E-07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4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301.83170869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901.66499125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285.64482423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869.20938372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1.88871043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44.75981330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4.17892561E-17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1.07227989E-07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301.83169624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901.66497815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285.64378407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869.20828368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1.88857776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44.75969041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4.88644170E-17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1.07474026E-07</w:t>
            </w:r>
          </w:p>
        </w:tc>
      </w:tr>
      <w:tr w:rsidR="003A36B8" w:rsidRPr="002E06DA" w:rsidTr="003A36B8">
        <w:trPr>
          <w:jc w:val="center"/>
        </w:trPr>
        <w:tc>
          <w:tcPr>
            <w:tcW w:w="402" w:type="pct"/>
            <w:vAlign w:val="center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i/>
                <w:iCs/>
                <w:color w:val="00B050"/>
                <w:szCs w:val="21"/>
              </w:rPr>
            </w:pPr>
            <w:r w:rsidRPr="002E06DA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eastAsia="等线"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4.12482E-08</w:t>
            </w:r>
          </w:p>
        </w:tc>
        <w:tc>
          <w:tcPr>
            <w:tcW w:w="55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1.5E-08</w:t>
            </w:r>
          </w:p>
        </w:tc>
        <w:tc>
          <w:tcPr>
            <w:tcW w:w="62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3.6E-06</w:t>
            </w:r>
          </w:p>
        </w:tc>
        <w:tc>
          <w:tcPr>
            <w:tcW w:w="55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1.3E-06</w:t>
            </w:r>
          </w:p>
        </w:tc>
        <w:tc>
          <w:tcPr>
            <w:tcW w:w="48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7E-05</w:t>
            </w:r>
          </w:p>
        </w:tc>
        <w:tc>
          <w:tcPr>
            <w:tcW w:w="55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2.7E-06</w:t>
            </w:r>
          </w:p>
        </w:tc>
        <w:tc>
          <w:tcPr>
            <w:tcW w:w="629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0.144792</w:t>
            </w:r>
          </w:p>
        </w:tc>
        <w:tc>
          <w:tcPr>
            <w:tcW w:w="601" w:type="pct"/>
            <w:vAlign w:val="bottom"/>
          </w:tcPr>
          <w:p w:rsidR="003A36B8" w:rsidRPr="002E06DA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E06DA">
              <w:rPr>
                <w:rFonts w:eastAsia="等线" w:cs="Times New Roman"/>
                <w:color w:val="00B050"/>
                <w:sz w:val="22"/>
              </w:rPr>
              <w:t>0.002289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6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301.83169778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901.66497973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285.64390756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869.20841067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1.88857039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44.75968614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5.27169484E-17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1.07498862E-07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301.83169758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901.66497953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285.64389214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869.20839504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44.75968706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5.44047391E-17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1.07500633E-07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285.64389414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869.20839705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1.88857153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44.75968709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5.50078992E-17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1.07500716E-07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285.64389388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869.20839679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5.51849690E-17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0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5.52277114E-17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315156" w:rsidTr="003A36B8">
        <w:trPr>
          <w:jc w:val="center"/>
        </w:trPr>
        <w:tc>
          <w:tcPr>
            <w:tcW w:w="402" w:type="pct"/>
            <w:vAlign w:val="center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eastAsia="等线"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1.05E-10</w:t>
            </w:r>
          </w:p>
        </w:tc>
        <w:tc>
          <w:tcPr>
            <w:tcW w:w="55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3.45E-11</w:t>
            </w:r>
          </w:p>
        </w:tc>
        <w:tc>
          <w:tcPr>
            <w:tcW w:w="48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0.000774</w:t>
            </w:r>
          </w:p>
        </w:tc>
        <w:tc>
          <w:tcPr>
            <w:tcW w:w="601" w:type="pct"/>
            <w:vAlign w:val="bottom"/>
          </w:tcPr>
          <w:p w:rsidR="003A36B8" w:rsidRPr="00315156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315156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1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5.52361451E-17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2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5.52374846E-17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3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5.52376503E-17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4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5.52376652E-17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5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44.75968708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0E7008" w:rsidTr="003A36B8">
        <w:trPr>
          <w:jc w:val="center"/>
        </w:trPr>
        <w:tc>
          <w:tcPr>
            <w:tcW w:w="402" w:type="pct"/>
            <w:vAlign w:val="center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eastAsia="等线"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48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1.45E-08</w:t>
            </w:r>
          </w:p>
        </w:tc>
        <w:tc>
          <w:tcPr>
            <w:tcW w:w="601" w:type="pct"/>
            <w:vAlign w:val="bottom"/>
          </w:tcPr>
          <w:p w:rsidR="003A36B8" w:rsidRPr="000E7008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0E7008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6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eastAsia="等线"/>
                <w:color w:val="000000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44.75968708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7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eastAsia="等线"/>
                <w:color w:val="000000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44.75968708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8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eastAsia="等线"/>
                <w:color w:val="000000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44.75968708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9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eastAsia="等线"/>
                <w:color w:val="000000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44.75968708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F10646" w:rsidTr="003A36B8">
        <w:trPr>
          <w:jc w:val="center"/>
        </w:trPr>
        <w:tc>
          <w:tcPr>
            <w:tcW w:w="402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2</w:t>
            </w:r>
            <w:r w:rsidRPr="00F10646">
              <w:rPr>
                <w:rFonts w:cs="Times New Roman"/>
                <w:szCs w:val="21"/>
              </w:rPr>
              <w:t>0</w:t>
            </w:r>
          </w:p>
        </w:tc>
        <w:tc>
          <w:tcPr>
            <w:tcW w:w="573" w:type="pct"/>
            <w:vAlign w:val="center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rFonts w:eastAsia="等线"/>
                <w:color w:val="000000"/>
                <w:szCs w:val="21"/>
              </w:rPr>
            </w:pPr>
            <w:r w:rsidRPr="00F10646">
              <w:rPr>
                <w:rFonts w:eastAsia="等线" w:hint="eastAsia"/>
                <w:color w:val="000000"/>
                <w:szCs w:val="21"/>
              </w:rPr>
              <w:t xml:space="preserve">301.83169761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901.66497955 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285.64389391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869.20839682 </w:t>
            </w:r>
          </w:p>
        </w:tc>
        <w:tc>
          <w:tcPr>
            <w:tcW w:w="48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 xml:space="preserve">1.88857152 </w:t>
            </w:r>
          </w:p>
        </w:tc>
        <w:tc>
          <w:tcPr>
            <w:tcW w:w="55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44.75968708</w:t>
            </w:r>
          </w:p>
        </w:tc>
        <w:tc>
          <w:tcPr>
            <w:tcW w:w="629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5.52376660E-17</w:t>
            </w:r>
          </w:p>
        </w:tc>
        <w:tc>
          <w:tcPr>
            <w:tcW w:w="601" w:type="pct"/>
          </w:tcPr>
          <w:p w:rsidR="003A36B8" w:rsidRPr="00F10646" w:rsidRDefault="003A36B8" w:rsidP="005C1820">
            <w:pPr>
              <w:spacing w:line="240" w:lineRule="exact"/>
              <w:jc w:val="center"/>
              <w:rPr>
                <w:szCs w:val="21"/>
              </w:rPr>
            </w:pPr>
            <w:r w:rsidRPr="00F10646">
              <w:rPr>
                <w:szCs w:val="21"/>
              </w:rPr>
              <w:t>1.07500718E-07</w:t>
            </w:r>
          </w:p>
        </w:tc>
      </w:tr>
      <w:tr w:rsidR="003A36B8" w:rsidRPr="0020215F" w:rsidTr="003A36B8">
        <w:trPr>
          <w:jc w:val="center"/>
        </w:trPr>
        <w:tc>
          <w:tcPr>
            <w:tcW w:w="402" w:type="pct"/>
            <w:vAlign w:val="center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eastAsia="等线"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48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55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29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  <w:tc>
          <w:tcPr>
            <w:tcW w:w="601" w:type="pct"/>
            <w:vAlign w:val="bottom"/>
          </w:tcPr>
          <w:p w:rsidR="003A36B8" w:rsidRPr="0020215F" w:rsidRDefault="003A36B8" w:rsidP="005C1820">
            <w:pPr>
              <w:spacing w:line="240" w:lineRule="exact"/>
              <w:jc w:val="center"/>
              <w:rPr>
                <w:rFonts w:cs="Times New Roman"/>
                <w:color w:val="00B050"/>
                <w:szCs w:val="21"/>
              </w:rPr>
            </w:pPr>
            <w:r w:rsidRPr="0020215F">
              <w:rPr>
                <w:rFonts w:eastAsia="等线" w:cs="Times New Roman"/>
                <w:color w:val="00B050"/>
                <w:sz w:val="22"/>
              </w:rPr>
              <w:t>0</w:t>
            </w:r>
          </w:p>
        </w:tc>
      </w:tr>
    </w:tbl>
    <w:p w:rsidR="003A36B8" w:rsidRDefault="003A36B8" w:rsidP="007127A1">
      <w:pPr>
        <w:spacing w:line="480" w:lineRule="auto"/>
        <w:rPr>
          <w:rFonts w:cs="Times New Roman"/>
          <w:sz w:val="24"/>
          <w:szCs w:val="24"/>
        </w:rPr>
        <w:sectPr w:rsidR="003A36B8" w:rsidSect="003A36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0687C" w:rsidRDefault="0040687C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As shown in </w:t>
      </w:r>
      <w:r w:rsidRPr="00A815C4">
        <w:rPr>
          <w:rFonts w:cs="Times New Roman"/>
          <w:color w:val="00B050"/>
          <w:sz w:val="24"/>
          <w:szCs w:val="24"/>
        </w:rPr>
        <w:t>Figures 1a</w:t>
      </w:r>
      <w:r w:rsidR="003A36B8">
        <w:rPr>
          <w:rFonts w:cs="Times New Roman"/>
          <w:color w:val="00B050"/>
          <w:sz w:val="24"/>
          <w:szCs w:val="24"/>
        </w:rPr>
        <w:t xml:space="preserve">, </w:t>
      </w:r>
      <w:r w:rsidRPr="00A815C4">
        <w:rPr>
          <w:rFonts w:cs="Times New Roman"/>
          <w:color w:val="00B050"/>
          <w:sz w:val="24"/>
          <w:szCs w:val="24"/>
        </w:rPr>
        <w:t>1b</w:t>
      </w:r>
      <w:r w:rsidR="003A36B8">
        <w:rPr>
          <w:rFonts w:cs="Times New Roman"/>
          <w:color w:val="00B050"/>
          <w:sz w:val="24"/>
          <w:szCs w:val="24"/>
        </w:rPr>
        <w:t>, 1c and 1d</w:t>
      </w:r>
      <w:r>
        <w:rPr>
          <w:rFonts w:cs="Times New Roman"/>
          <w:sz w:val="24"/>
          <w:szCs w:val="24"/>
        </w:rPr>
        <w:t xml:space="preserve">, the integral values have differences in </w:t>
      </w:r>
      <w:r w:rsidRPr="00354883">
        <w:rPr>
          <w:rFonts w:cs="Times New Roman"/>
          <w:sz w:val="24"/>
          <w:szCs w:val="24"/>
        </w:rPr>
        <w:t>order of magnitude</w:t>
      </w:r>
      <w:r>
        <w:rPr>
          <w:rFonts w:cs="Times New Roman"/>
          <w:sz w:val="24"/>
          <w:szCs w:val="24"/>
        </w:rPr>
        <w:t xml:space="preserve"> from each other with different temperatures and activation energies. In order to control computing error, the relative residual was defined as follows.</w:t>
      </w:r>
    </w:p>
    <w:p w:rsidR="0040687C" w:rsidRDefault="0040687C" w:rsidP="0040687C">
      <w:pPr>
        <w:wordWrap w:val="0"/>
        <w:spacing w:line="480" w:lineRule="auto"/>
        <w:jc w:val="right"/>
        <w:rPr>
          <w:rFonts w:eastAsia="Arial Unicode MS" w:cs="Times New Roman"/>
          <w:sz w:val="24"/>
          <w:szCs w:val="24"/>
        </w:rPr>
      </w:pPr>
      <w:r w:rsidRPr="0022424C">
        <w:rPr>
          <w:position w:val="-32"/>
          <w:sz w:val="24"/>
          <w:szCs w:val="24"/>
        </w:rPr>
        <w:object w:dxaOrig="33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8pt;height:38.8pt" o:ole="">
            <v:imagedata r:id="rId8" o:title=""/>
          </v:shape>
          <o:OLEObject Type="Embed" ProgID="Equation.DSMT4" ShapeID="_x0000_i1025" DrawAspect="Content" ObjectID="_1696163669" r:id="rId9"/>
        </w:object>
      </w:r>
      <w:r w:rsidR="009340CE">
        <w:rPr>
          <w:rFonts w:eastAsia="Arial Unicode MS" w:cs="Times New Roman"/>
          <w:sz w:val="24"/>
          <w:szCs w:val="24"/>
        </w:rPr>
        <w:t xml:space="preserve">                         (1</w:t>
      </w:r>
      <w:r w:rsidRPr="0022424C">
        <w:rPr>
          <w:rFonts w:eastAsia="Arial Unicode MS" w:cs="Times New Roman"/>
          <w:sz w:val="24"/>
          <w:szCs w:val="24"/>
        </w:rPr>
        <w:t>)</w:t>
      </w:r>
    </w:p>
    <w:p w:rsidR="0040687C" w:rsidRPr="0022424C" w:rsidRDefault="0040687C" w:rsidP="0040687C">
      <w:pPr>
        <w:spacing w:line="480" w:lineRule="auto"/>
        <w:rPr>
          <w:rFonts w:eastAsia="Arial Unicode MS" w:cs="Times New Roman"/>
          <w:sz w:val="24"/>
          <w:szCs w:val="24"/>
        </w:rPr>
      </w:pPr>
      <w:r>
        <w:rPr>
          <w:rFonts w:eastAsia="Arial Unicode MS" w:cs="Times New Roman" w:hint="eastAsia"/>
          <w:sz w:val="24"/>
          <w:szCs w:val="24"/>
        </w:rPr>
        <w:t>w</w:t>
      </w:r>
      <w:r>
        <w:rPr>
          <w:rFonts w:eastAsia="Arial Unicode MS" w:cs="Times New Roman"/>
          <w:sz w:val="24"/>
          <w:szCs w:val="24"/>
        </w:rPr>
        <w:t xml:space="preserve">here </w:t>
      </w:r>
      <w:r w:rsidRPr="0022424C">
        <w:rPr>
          <w:rFonts w:eastAsia="Arial Unicode MS" w:cs="Times New Roman"/>
          <w:i/>
          <w:sz w:val="24"/>
          <w:szCs w:val="24"/>
        </w:rPr>
        <w:t>Ψ</w:t>
      </w:r>
      <w:r w:rsidRPr="0022424C">
        <w:rPr>
          <w:rFonts w:cs="Times New Roman"/>
          <w:sz w:val="24"/>
          <w:szCs w:val="24"/>
        </w:rPr>
        <w:t>(</w:t>
      </w:r>
      <w:r w:rsidRPr="0063277A">
        <w:rPr>
          <w:rFonts w:cs="Times New Roman"/>
          <w:i/>
          <w:iCs/>
          <w:sz w:val="24"/>
          <w:szCs w:val="24"/>
        </w:rPr>
        <w:t>n</w:t>
      </w:r>
      <w:r>
        <w:rPr>
          <w:rFonts w:cs="Times New Roman"/>
          <w:sz w:val="24"/>
          <w:szCs w:val="24"/>
        </w:rPr>
        <w:t xml:space="preserve">, </w:t>
      </w:r>
      <w:r w:rsidRPr="0022424C">
        <w:rPr>
          <w:rFonts w:cs="Times New Roman"/>
          <w:i/>
          <w:sz w:val="24"/>
          <w:szCs w:val="24"/>
        </w:rPr>
        <w:t>T</w:t>
      </w:r>
      <w:r>
        <w:rPr>
          <w:rFonts w:cs="Times New Roman"/>
          <w:iCs/>
          <w:sz w:val="24"/>
          <w:szCs w:val="24"/>
        </w:rPr>
        <w:t xml:space="preserve">, </w:t>
      </w:r>
      <w:r w:rsidRPr="0063277A">
        <w:rPr>
          <w:rFonts w:cs="Times New Roman"/>
          <w:i/>
          <w:sz w:val="24"/>
          <w:szCs w:val="24"/>
        </w:rPr>
        <w:t>E</w:t>
      </w:r>
      <w:r w:rsidRPr="0063277A">
        <w:rPr>
          <w:rFonts w:cs="Times New Roman"/>
          <w:i/>
          <w:sz w:val="24"/>
          <w:szCs w:val="24"/>
          <w:vertAlign w:val="subscript"/>
        </w:rPr>
        <w:t>a</w:t>
      </w:r>
      <w:r w:rsidRPr="0022424C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 xml:space="preserve"> denotes the integral of Boltzmann factor with upper limit temperature of </w:t>
      </w:r>
      <w:r w:rsidRPr="0063277A">
        <w:rPr>
          <w:rFonts w:cs="Times New Roman"/>
          <w:i/>
          <w:iCs/>
          <w:sz w:val="24"/>
          <w:szCs w:val="24"/>
        </w:rPr>
        <w:t>T</w:t>
      </w:r>
      <w:r>
        <w:rPr>
          <w:rFonts w:cs="Times New Roman"/>
          <w:sz w:val="24"/>
          <w:szCs w:val="24"/>
        </w:rPr>
        <w:t xml:space="preserve">, activation energy of </w:t>
      </w:r>
      <w:r w:rsidRPr="0063277A">
        <w:rPr>
          <w:rFonts w:cs="Times New Roman"/>
          <w:i/>
          <w:sz w:val="24"/>
          <w:szCs w:val="24"/>
        </w:rPr>
        <w:t>E</w:t>
      </w:r>
      <w:r w:rsidRPr="0063277A">
        <w:rPr>
          <w:rFonts w:cs="Times New Roman"/>
          <w:i/>
          <w:sz w:val="24"/>
          <w:szCs w:val="24"/>
          <w:vertAlign w:val="subscript"/>
        </w:rPr>
        <w:t>a</w:t>
      </w:r>
      <w:r>
        <w:rPr>
          <w:rFonts w:cs="Times New Roman"/>
          <w:sz w:val="24"/>
          <w:szCs w:val="24"/>
        </w:rPr>
        <w:t xml:space="preserve">, and Taylor order of </w:t>
      </w:r>
      <w:r w:rsidRPr="0063277A">
        <w:rPr>
          <w:rFonts w:cs="Times New Roman"/>
          <w:i/>
          <w:iCs/>
          <w:sz w:val="24"/>
          <w:szCs w:val="24"/>
        </w:rPr>
        <w:t>n</w:t>
      </w:r>
      <w:r w:rsidRPr="001628FF">
        <w:rPr>
          <w:rFonts w:cs="Times New Roman" w:hint="eastAsia"/>
          <w:sz w:val="24"/>
          <w:szCs w:val="24"/>
        </w:rPr>
        <w:t>;</w:t>
      </w:r>
      <w:r>
        <w:rPr>
          <w:rFonts w:cs="Times New Roman"/>
          <w:sz w:val="24"/>
          <w:szCs w:val="24"/>
        </w:rPr>
        <w:t xml:space="preserve"> The relative residual </w:t>
      </w:r>
      <w:r w:rsidRPr="001628FF">
        <w:rPr>
          <w:rFonts w:cs="Times New Roman"/>
          <w:i/>
          <w:iCs/>
          <w:sz w:val="24"/>
          <w:szCs w:val="24"/>
        </w:rPr>
        <w:t>δ</w:t>
      </w:r>
      <w:r>
        <w:rPr>
          <w:rFonts w:cs="Times New Roman"/>
          <w:sz w:val="24"/>
          <w:szCs w:val="24"/>
        </w:rPr>
        <w:t xml:space="preserve"> denotes a tolerance when it is presupposed as a maximum limitation that should not be exceeded.</w:t>
      </w:r>
    </w:p>
    <w:p w:rsidR="0040687C" w:rsidRPr="00D16768" w:rsidRDefault="0040687C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 w:rsidRPr="00DC6D80">
        <w:rPr>
          <w:rFonts w:cs="Times New Roman" w:hint="eastAsia"/>
          <w:color w:val="00B050"/>
          <w:sz w:val="24"/>
          <w:szCs w:val="24"/>
        </w:rPr>
        <w:t>F</w:t>
      </w:r>
      <w:r w:rsidRPr="00DC6D80">
        <w:rPr>
          <w:rFonts w:cs="Times New Roman"/>
          <w:color w:val="00B050"/>
          <w:sz w:val="24"/>
          <w:szCs w:val="24"/>
        </w:rPr>
        <w:t xml:space="preserve">igures </w:t>
      </w:r>
      <w:r w:rsidR="005C1820">
        <w:rPr>
          <w:rFonts w:cs="Times New Roman"/>
          <w:color w:val="00B050"/>
          <w:sz w:val="24"/>
          <w:szCs w:val="24"/>
        </w:rPr>
        <w:t>S1</w:t>
      </w:r>
      <w:r w:rsidRPr="00DC6D80">
        <w:rPr>
          <w:rFonts w:cs="Times New Roman"/>
          <w:color w:val="00B050"/>
          <w:sz w:val="24"/>
          <w:szCs w:val="24"/>
        </w:rPr>
        <w:t xml:space="preserve">a, </w:t>
      </w:r>
      <w:r w:rsidR="005C1820">
        <w:rPr>
          <w:rFonts w:cs="Times New Roman"/>
          <w:color w:val="00B050"/>
          <w:sz w:val="24"/>
          <w:szCs w:val="24"/>
        </w:rPr>
        <w:t>S1</w:t>
      </w:r>
      <w:r w:rsidRPr="00DC6D80">
        <w:rPr>
          <w:rFonts w:cs="Times New Roman"/>
          <w:color w:val="00B050"/>
          <w:sz w:val="24"/>
          <w:szCs w:val="24"/>
        </w:rPr>
        <w:t xml:space="preserve">b, </w:t>
      </w:r>
      <w:r w:rsidR="005C1820">
        <w:rPr>
          <w:rFonts w:cs="Times New Roman"/>
          <w:color w:val="00B050"/>
          <w:sz w:val="24"/>
          <w:szCs w:val="24"/>
        </w:rPr>
        <w:t>S1</w:t>
      </w:r>
      <w:r w:rsidRPr="00DC6D80">
        <w:rPr>
          <w:rFonts w:cs="Times New Roman"/>
          <w:color w:val="00B050"/>
          <w:sz w:val="24"/>
          <w:szCs w:val="24"/>
        </w:rPr>
        <w:t>c,</w:t>
      </w:r>
      <w:r>
        <w:rPr>
          <w:rFonts w:cs="Times New Roman"/>
          <w:sz w:val="24"/>
          <w:szCs w:val="24"/>
        </w:rPr>
        <w:t xml:space="preserve"> and </w:t>
      </w:r>
      <w:r w:rsidR="002B4308">
        <w:rPr>
          <w:rFonts w:cs="Times New Roman"/>
          <w:color w:val="00B050"/>
          <w:sz w:val="24"/>
          <w:szCs w:val="24"/>
        </w:rPr>
        <w:t>S1</w:t>
      </w:r>
      <w:r w:rsidRPr="00DC6D80">
        <w:rPr>
          <w:rFonts w:cs="Times New Roman"/>
          <w:color w:val="00B050"/>
          <w:sz w:val="24"/>
          <w:szCs w:val="24"/>
        </w:rPr>
        <w:t>d</w:t>
      </w:r>
      <w:r>
        <w:rPr>
          <w:rFonts w:cs="Times New Roman"/>
          <w:sz w:val="24"/>
          <w:szCs w:val="24"/>
        </w:rPr>
        <w:t xml:space="preserve"> demonstrate the minimum Taylor order required for calculating the temperature integral under </w:t>
      </w:r>
      <w:bookmarkStart w:id="0" w:name="_Hlk48647345"/>
      <w:r>
        <w:rPr>
          <w:rFonts w:cs="Times New Roman"/>
          <w:sz w:val="24"/>
          <w:szCs w:val="24"/>
        </w:rPr>
        <w:t>error tolerances</w:t>
      </w:r>
      <w:bookmarkEnd w:id="0"/>
      <w:r>
        <w:rPr>
          <w:rFonts w:cs="Times New Roman"/>
          <w:sz w:val="24"/>
          <w:szCs w:val="24"/>
        </w:rPr>
        <w:t xml:space="preserve"> o</w:t>
      </w:r>
      <w:r w:rsidRPr="00983392">
        <w:rPr>
          <w:rFonts w:cs="Times New Roman"/>
          <w:sz w:val="24"/>
          <w:szCs w:val="24"/>
        </w:rPr>
        <w:t>f 10</w:t>
      </w:r>
      <w:r w:rsidRPr="00983392">
        <w:rPr>
          <w:rFonts w:cs="Times New Roman"/>
          <w:sz w:val="24"/>
          <w:szCs w:val="24"/>
          <w:vertAlign w:val="superscript"/>
        </w:rPr>
        <w:t>-4</w:t>
      </w:r>
      <w:r w:rsidRPr="00983392">
        <w:rPr>
          <w:rFonts w:cs="Times New Roman"/>
          <w:sz w:val="24"/>
          <w:szCs w:val="24"/>
        </w:rPr>
        <w:t>, 10</w:t>
      </w:r>
      <w:r w:rsidRPr="00983392">
        <w:rPr>
          <w:rFonts w:cs="Times New Roman"/>
          <w:sz w:val="24"/>
          <w:szCs w:val="24"/>
          <w:vertAlign w:val="superscript"/>
        </w:rPr>
        <w:t>-8</w:t>
      </w:r>
      <w:r w:rsidRPr="00983392">
        <w:rPr>
          <w:rFonts w:cs="Times New Roman"/>
          <w:sz w:val="24"/>
          <w:szCs w:val="24"/>
        </w:rPr>
        <w:t>, 10</w:t>
      </w:r>
      <w:r w:rsidRPr="00983392">
        <w:rPr>
          <w:rFonts w:cs="Times New Roman"/>
          <w:sz w:val="24"/>
          <w:szCs w:val="24"/>
          <w:vertAlign w:val="superscript"/>
        </w:rPr>
        <w:t>-12</w:t>
      </w:r>
      <w:r w:rsidRPr="00983392">
        <w:rPr>
          <w:rFonts w:cs="Times New Roman"/>
          <w:sz w:val="24"/>
          <w:szCs w:val="24"/>
        </w:rPr>
        <w:t>, and 10</w:t>
      </w:r>
      <w:r w:rsidRPr="00983392">
        <w:rPr>
          <w:rFonts w:cs="Times New Roman"/>
          <w:sz w:val="24"/>
          <w:szCs w:val="24"/>
          <w:vertAlign w:val="superscript"/>
        </w:rPr>
        <w:t>-16</w:t>
      </w:r>
      <w:r>
        <w:rPr>
          <w:rFonts w:cs="Times New Roman"/>
          <w:sz w:val="24"/>
          <w:szCs w:val="24"/>
        </w:rPr>
        <w:t xml:space="preserve">, respectively. According to </w:t>
      </w:r>
      <w:r w:rsidRPr="0062013D">
        <w:rPr>
          <w:rFonts w:cs="Times New Roman"/>
          <w:color w:val="00B050"/>
          <w:sz w:val="24"/>
          <w:szCs w:val="24"/>
        </w:rPr>
        <w:t>Figures</w:t>
      </w:r>
      <w:r>
        <w:rPr>
          <w:rFonts w:cs="Times New Roman"/>
          <w:sz w:val="24"/>
          <w:szCs w:val="24"/>
        </w:rPr>
        <w:t xml:space="preserve"> </w:t>
      </w:r>
      <w:r w:rsidR="005C1820">
        <w:rPr>
          <w:rFonts w:cs="Times New Roman"/>
          <w:color w:val="00B050"/>
          <w:sz w:val="24"/>
          <w:szCs w:val="24"/>
        </w:rPr>
        <w:t>S1</w:t>
      </w:r>
      <w:r w:rsidRPr="0062013D">
        <w:rPr>
          <w:rFonts w:cs="Times New Roman"/>
          <w:color w:val="00B050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 and </w:t>
      </w:r>
      <w:r w:rsidR="005C1820">
        <w:rPr>
          <w:rFonts w:cs="Times New Roman"/>
          <w:color w:val="00B050"/>
          <w:sz w:val="24"/>
          <w:szCs w:val="24"/>
        </w:rPr>
        <w:t>S1</w:t>
      </w:r>
      <w:r w:rsidRPr="0062013D">
        <w:rPr>
          <w:rFonts w:cs="Times New Roman"/>
          <w:color w:val="00B050"/>
          <w:sz w:val="24"/>
          <w:szCs w:val="24"/>
        </w:rPr>
        <w:t>b</w:t>
      </w:r>
      <w:r>
        <w:rPr>
          <w:rFonts w:cs="Times New Roman"/>
          <w:sz w:val="24"/>
          <w:szCs w:val="24"/>
        </w:rPr>
        <w:t xml:space="preserve">, the relative residual errors in </w:t>
      </w:r>
      <w:r w:rsidRPr="00495514">
        <w:rPr>
          <w:rFonts w:cs="Times New Roman"/>
          <w:color w:val="00B050"/>
          <w:sz w:val="24"/>
          <w:szCs w:val="24"/>
        </w:rPr>
        <w:t>Figure 1</w:t>
      </w:r>
      <w:r w:rsidR="005C1820">
        <w:rPr>
          <w:rFonts w:cs="Times New Roman"/>
          <w:color w:val="00B050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 are no more than 10</w:t>
      </w:r>
      <w:r w:rsidRPr="00495514">
        <w:rPr>
          <w:rFonts w:cs="Times New Roman"/>
          <w:sz w:val="24"/>
          <w:szCs w:val="24"/>
          <w:vertAlign w:val="superscript"/>
        </w:rPr>
        <w:t>-4</w:t>
      </w:r>
      <w:r>
        <w:rPr>
          <w:rFonts w:cs="Times New Roman"/>
          <w:sz w:val="24"/>
          <w:szCs w:val="24"/>
        </w:rPr>
        <w:t xml:space="preserve"> under the domain of definition, and most of the values have a residual error of </w:t>
      </w:r>
      <w:r w:rsidRPr="00983392">
        <w:rPr>
          <w:rFonts w:cs="Times New Roman"/>
          <w:sz w:val="24"/>
          <w:szCs w:val="24"/>
        </w:rPr>
        <w:t>10</w:t>
      </w:r>
      <w:r w:rsidRPr="00983392">
        <w:rPr>
          <w:rFonts w:cs="Times New Roman"/>
          <w:sz w:val="24"/>
          <w:szCs w:val="24"/>
          <w:vertAlign w:val="superscript"/>
        </w:rPr>
        <w:t>-8</w:t>
      </w:r>
      <w:r>
        <w:rPr>
          <w:rFonts w:cs="Times New Roman"/>
          <w:sz w:val="24"/>
          <w:szCs w:val="24"/>
        </w:rPr>
        <w:t>. The same trend is proved by these four figures that the minimum Taylor order required rises with decreasing the upper limit temperature and increasing the activation energy. T</w:t>
      </w:r>
      <w:r>
        <w:rPr>
          <w:rFonts w:cs="Times New Roman" w:hint="eastAsia"/>
          <w:sz w:val="24"/>
          <w:szCs w:val="24"/>
        </w:rPr>
        <w:t>h</w:t>
      </w:r>
      <w:r>
        <w:rPr>
          <w:rFonts w:cs="Times New Roman"/>
          <w:sz w:val="24"/>
          <w:szCs w:val="24"/>
        </w:rPr>
        <w:t>ese figures demonstrate the opposite trend in most series solutions previously studied</w:t>
      </w:r>
      <w:r w:rsidR="009D3A43">
        <w:rPr>
          <w:rFonts w:cs="Times New Roman"/>
          <w:sz w:val="24"/>
          <w:szCs w:val="24"/>
        </w:rPr>
        <w:fldChar w:fldCharType="begin" w:fldLock="1"/>
      </w:r>
      <w:r w:rsidR="0080330C">
        <w:rPr>
          <w:rFonts w:cs="Times New Roman"/>
          <w:sz w:val="24"/>
          <w:szCs w:val="24"/>
        </w:rPr>
        <w:instrText>ADDIN CSL_CITATION {"citationItems":[{"id":"ITEM-1","itemData":{"author":[{"dropping-particle":"","family":"J.H. Flynn","given":"","non-dropping-particle":"","parse-names":false,"suffix":""}],"container-title":"Thermochim. Acta","id":"ITEM-1","issue":"83-92","issued":{"date-parts":[["1997"]]},"title":"The “temperature integral” - Its use and abuse","type":"article-journal","volume":"300"},"uris":["http://www.mendeley.com/documents/?uuid=ad48b56f-ba38-48ae-bb1c-13b222bebbe7"]}],"mendeley":{"formattedCitation":"[1]","plainTextFormattedCitation":"[1]","previouslyFormattedCitation":"&lt;sup&gt;1&lt;/sup&gt;"},"properties":{"noteIndex":0},"schema":"https://github.com/citation-style-language/schema/raw/master/csl-citation.json"}</w:instrText>
      </w:r>
      <w:r w:rsidR="009D3A43">
        <w:rPr>
          <w:rFonts w:cs="Times New Roman"/>
          <w:sz w:val="24"/>
          <w:szCs w:val="24"/>
        </w:rPr>
        <w:fldChar w:fldCharType="separate"/>
      </w:r>
      <w:r w:rsidR="0080330C" w:rsidRPr="0080330C">
        <w:rPr>
          <w:rFonts w:cs="Times New Roman"/>
          <w:noProof/>
          <w:sz w:val="24"/>
          <w:szCs w:val="24"/>
        </w:rPr>
        <w:t>[1]</w:t>
      </w:r>
      <w:r w:rsidR="009D3A43">
        <w:rPr>
          <w:rFonts w:cs="Times New Roman"/>
          <w:sz w:val="24"/>
          <w:szCs w:val="24"/>
        </w:rPr>
        <w:fldChar w:fldCharType="end"/>
      </w:r>
      <w:r>
        <w:rPr>
          <w:rFonts w:cs="Times New Roman"/>
          <w:sz w:val="24"/>
          <w:szCs w:val="24"/>
        </w:rPr>
        <w:t xml:space="preserve">. Furthermore, the relationships </w:t>
      </w:r>
      <w:r>
        <w:rPr>
          <w:rFonts w:cs="Times New Roman" w:hint="eastAsia"/>
          <w:sz w:val="24"/>
          <w:szCs w:val="24"/>
        </w:rPr>
        <w:t>be</w:t>
      </w:r>
      <w:r>
        <w:rPr>
          <w:rFonts w:cs="Times New Roman"/>
          <w:sz w:val="24"/>
          <w:szCs w:val="24"/>
        </w:rPr>
        <w:t xml:space="preserve">tween </w:t>
      </w:r>
      <w:r w:rsidRPr="0063277A">
        <w:rPr>
          <w:rFonts w:cs="Times New Roman"/>
          <w:i/>
          <w:iCs/>
          <w:sz w:val="24"/>
          <w:szCs w:val="24"/>
        </w:rPr>
        <w:t>T</w:t>
      </w:r>
      <w:r>
        <w:rPr>
          <w:rFonts w:cs="Times New Roman"/>
          <w:iCs/>
          <w:sz w:val="24"/>
          <w:szCs w:val="24"/>
        </w:rPr>
        <w:t xml:space="preserve">, </w:t>
      </w:r>
      <w:r w:rsidRPr="0063277A">
        <w:rPr>
          <w:rFonts w:cs="Times New Roman"/>
          <w:i/>
          <w:sz w:val="24"/>
          <w:szCs w:val="24"/>
        </w:rPr>
        <w:t>E</w:t>
      </w:r>
      <w:r w:rsidRPr="0063277A">
        <w:rPr>
          <w:rFonts w:cs="Times New Roman"/>
          <w:i/>
          <w:sz w:val="24"/>
          <w:szCs w:val="24"/>
          <w:vertAlign w:val="subscript"/>
        </w:rPr>
        <w:t>a</w:t>
      </w:r>
      <w:r>
        <w:rPr>
          <w:rFonts w:cs="Times New Roman"/>
          <w:sz w:val="24"/>
          <w:szCs w:val="24"/>
        </w:rPr>
        <w:t xml:space="preserve">, and Taylor order </w:t>
      </w:r>
      <w:r w:rsidRPr="0063277A">
        <w:rPr>
          <w:rFonts w:cs="Times New Roman"/>
          <w:i/>
          <w:iCs/>
          <w:sz w:val="24"/>
          <w:szCs w:val="24"/>
        </w:rPr>
        <w:t>n</w:t>
      </w:r>
      <w:r>
        <w:rPr>
          <w:rFonts w:cs="Times New Roman"/>
          <w:sz w:val="24"/>
          <w:szCs w:val="24"/>
        </w:rPr>
        <w:t xml:space="preserve"> are more complicated than </w:t>
      </w:r>
      <w:r w:rsidRPr="008C434C">
        <w:rPr>
          <w:rFonts w:cs="Times New Roman"/>
          <w:sz w:val="24"/>
          <w:szCs w:val="24"/>
        </w:rPr>
        <w:t>monotonic</w:t>
      </w:r>
      <w:r>
        <w:rPr>
          <w:rFonts w:cs="Times New Roman"/>
          <w:sz w:val="24"/>
          <w:szCs w:val="24"/>
        </w:rPr>
        <w:t xml:space="preserve"> and some </w:t>
      </w:r>
      <w:r w:rsidRPr="001869B9">
        <w:rPr>
          <w:rFonts w:cs="Times New Roman"/>
          <w:sz w:val="24"/>
          <w:szCs w:val="24"/>
        </w:rPr>
        <w:t>singular point</w:t>
      </w:r>
      <w:r>
        <w:rPr>
          <w:rFonts w:cs="Times New Roman"/>
          <w:sz w:val="24"/>
          <w:szCs w:val="24"/>
        </w:rPr>
        <w:t xml:space="preserve">s also exist in the plots. However, the maximum required Taylor order is no more than 45 under a tolerance of </w:t>
      </w:r>
      <w:r w:rsidRPr="00983392">
        <w:rPr>
          <w:rFonts w:cs="Times New Roman"/>
          <w:sz w:val="24"/>
          <w:szCs w:val="24"/>
        </w:rPr>
        <w:t>10</w:t>
      </w:r>
      <w:r w:rsidRPr="00983392">
        <w:rPr>
          <w:rFonts w:cs="Times New Roman"/>
          <w:sz w:val="24"/>
          <w:szCs w:val="24"/>
          <w:vertAlign w:val="superscript"/>
        </w:rPr>
        <w:t>-16</w:t>
      </w:r>
      <w:r>
        <w:rPr>
          <w:rFonts w:cs="Times New Roman"/>
          <w:sz w:val="24"/>
          <w:szCs w:val="24"/>
        </w:rPr>
        <w:t xml:space="preserve">, which proves it is easier to approach convergence than the former methods. </w:t>
      </w:r>
    </w:p>
    <w:p w:rsidR="0040687C" w:rsidRDefault="0040687C" w:rsidP="0040687C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7ED9A664" wp14:editId="7ED14342">
            <wp:extent cx="5312779" cy="4015799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4" t="10650" r="6595"/>
                    <a:stretch/>
                  </pic:blipFill>
                  <pic:spPr bwMode="auto">
                    <a:xfrm>
                      <a:off x="0" y="0"/>
                      <a:ext cx="5351257" cy="4044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687C" w:rsidRDefault="0040687C" w:rsidP="0040687C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rFonts w:cs="Times New Roman" w:hint="eastAsia"/>
          <w:noProof/>
          <w:sz w:val="24"/>
          <w:szCs w:val="24"/>
        </w:rPr>
        <w:drawing>
          <wp:inline distT="0" distB="0" distL="0" distR="0" wp14:anchorId="3D0E41C6" wp14:editId="66FE1A13">
            <wp:extent cx="5139160" cy="38885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2" t="10521" r="6406"/>
                    <a:stretch/>
                  </pic:blipFill>
                  <pic:spPr bwMode="auto">
                    <a:xfrm>
                      <a:off x="0" y="0"/>
                      <a:ext cx="5147043" cy="389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687C" w:rsidRDefault="0040687C" w:rsidP="0040687C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rFonts w:cs="Times New Roman" w:hint="eastAsia"/>
          <w:noProof/>
          <w:sz w:val="24"/>
          <w:szCs w:val="24"/>
        </w:rPr>
        <w:lastRenderedPageBreak/>
        <w:drawing>
          <wp:inline distT="0" distB="0" distL="0" distR="0" wp14:anchorId="3D3B403E" wp14:editId="251C4F3C">
            <wp:extent cx="5081286" cy="3822700"/>
            <wp:effectExtent l="0" t="0" r="508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7" t="10802" r="6232"/>
                    <a:stretch/>
                  </pic:blipFill>
                  <pic:spPr bwMode="auto">
                    <a:xfrm>
                      <a:off x="0" y="0"/>
                      <a:ext cx="5093496" cy="3831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687C" w:rsidRDefault="0040687C" w:rsidP="0040687C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rFonts w:cs="Times New Roman" w:hint="eastAsia"/>
          <w:noProof/>
          <w:sz w:val="24"/>
          <w:szCs w:val="24"/>
        </w:rPr>
        <w:drawing>
          <wp:inline distT="0" distB="0" distL="0" distR="0" wp14:anchorId="4A1879ED" wp14:editId="280A5DBA">
            <wp:extent cx="5353291" cy="409067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3" t="10280" r="6199"/>
                    <a:stretch/>
                  </pic:blipFill>
                  <pic:spPr bwMode="auto">
                    <a:xfrm>
                      <a:off x="0" y="0"/>
                      <a:ext cx="5356756" cy="4093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687C" w:rsidRPr="00F97F16" w:rsidRDefault="0040687C" w:rsidP="0040687C">
      <w:pPr>
        <w:spacing w:line="480" w:lineRule="auto"/>
        <w:jc w:val="center"/>
        <w:rPr>
          <w:rFonts w:cs="Times New Roman"/>
          <w:color w:val="00B050"/>
          <w:szCs w:val="21"/>
        </w:rPr>
      </w:pPr>
      <w:r w:rsidRPr="00F97F16">
        <w:rPr>
          <w:rFonts w:cs="Times New Roman" w:hint="eastAsia"/>
          <w:color w:val="00B050"/>
          <w:szCs w:val="21"/>
        </w:rPr>
        <w:t>F</w:t>
      </w:r>
      <w:r w:rsidRPr="00F97F16">
        <w:rPr>
          <w:rFonts w:cs="Times New Roman"/>
          <w:color w:val="00B050"/>
          <w:szCs w:val="21"/>
        </w:rPr>
        <w:t xml:space="preserve">igure </w:t>
      </w:r>
      <w:r w:rsidR="005C1820">
        <w:rPr>
          <w:rFonts w:cs="Times New Roman"/>
          <w:color w:val="00B050"/>
          <w:szCs w:val="21"/>
        </w:rPr>
        <w:t>S1</w:t>
      </w:r>
      <w:r w:rsidRPr="00F97F16">
        <w:rPr>
          <w:rFonts w:cs="Times New Roman"/>
          <w:color w:val="00B050"/>
          <w:szCs w:val="21"/>
        </w:rPr>
        <w:t xml:space="preserve"> The minimum Taylor order required </w:t>
      </w:r>
      <w:r>
        <w:rPr>
          <w:rFonts w:cs="Times New Roman"/>
          <w:color w:val="00B050"/>
          <w:szCs w:val="21"/>
        </w:rPr>
        <w:t xml:space="preserve">when </w:t>
      </w:r>
      <w:r w:rsidRPr="00F97F16">
        <w:rPr>
          <w:rFonts w:cs="Times New Roman"/>
          <w:color w:val="00B050"/>
          <w:szCs w:val="21"/>
        </w:rPr>
        <w:t xml:space="preserve">using present method within the iterative </w:t>
      </w:r>
      <w:r w:rsidRPr="007733C5">
        <w:rPr>
          <w:rFonts w:cs="Times New Roman"/>
          <w:color w:val="00B050"/>
          <w:szCs w:val="21"/>
        </w:rPr>
        <w:t>tolerances</w:t>
      </w:r>
      <w:r w:rsidRPr="00F97F16">
        <w:rPr>
          <w:rFonts w:cs="Times New Roman"/>
          <w:color w:val="00B050"/>
          <w:szCs w:val="21"/>
        </w:rPr>
        <w:t xml:space="preserve"> of (a) 10</w:t>
      </w:r>
      <w:r w:rsidRPr="00F97F16">
        <w:rPr>
          <w:rFonts w:cs="Times New Roman"/>
          <w:color w:val="00B050"/>
          <w:szCs w:val="21"/>
          <w:vertAlign w:val="superscript"/>
        </w:rPr>
        <w:t>-4</w:t>
      </w:r>
      <w:r w:rsidRPr="00F97F16">
        <w:rPr>
          <w:rFonts w:cs="Times New Roman"/>
          <w:color w:val="00B050"/>
          <w:szCs w:val="21"/>
        </w:rPr>
        <w:t>, (b) 10</w:t>
      </w:r>
      <w:r w:rsidRPr="00F97F16">
        <w:rPr>
          <w:rFonts w:cs="Times New Roman"/>
          <w:color w:val="00B050"/>
          <w:szCs w:val="21"/>
          <w:vertAlign w:val="superscript"/>
        </w:rPr>
        <w:t>-8</w:t>
      </w:r>
      <w:r w:rsidRPr="00F97F16">
        <w:rPr>
          <w:rFonts w:cs="Times New Roman"/>
          <w:color w:val="00B050"/>
          <w:szCs w:val="21"/>
        </w:rPr>
        <w:t>, (c) 10</w:t>
      </w:r>
      <w:r w:rsidRPr="00F97F16">
        <w:rPr>
          <w:rFonts w:cs="Times New Roman"/>
          <w:color w:val="00B050"/>
          <w:szCs w:val="21"/>
          <w:vertAlign w:val="superscript"/>
        </w:rPr>
        <w:t>-12</w:t>
      </w:r>
      <w:r w:rsidRPr="00F97F16">
        <w:rPr>
          <w:rFonts w:cs="Times New Roman"/>
          <w:color w:val="00B050"/>
          <w:szCs w:val="21"/>
        </w:rPr>
        <w:t>, and (d) 10</w:t>
      </w:r>
      <w:r w:rsidRPr="00F97F16">
        <w:rPr>
          <w:rFonts w:cs="Times New Roman"/>
          <w:color w:val="00B050"/>
          <w:szCs w:val="21"/>
          <w:vertAlign w:val="superscript"/>
        </w:rPr>
        <w:t>-16</w:t>
      </w:r>
    </w:p>
    <w:p w:rsidR="0040687C" w:rsidRPr="00DC3C08" w:rsidRDefault="0040687C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Another series solution is established to make a comparison. Using</w:t>
      </w:r>
      <w:r w:rsidRPr="00DC3C08">
        <w:rPr>
          <w:rFonts w:cs="Times New Roman"/>
          <w:sz w:val="24"/>
          <w:szCs w:val="24"/>
        </w:rPr>
        <w:t xml:space="preserve"> Newton-Leibniz quadrature method</w:t>
      </w:r>
      <w:r>
        <w:rPr>
          <w:rFonts w:cs="Times New Roman"/>
          <w:sz w:val="24"/>
          <w:szCs w:val="24"/>
        </w:rPr>
        <w:t xml:space="preserve"> as an average idea to resolve it</w:t>
      </w:r>
      <w:r w:rsidRPr="00DC3C08">
        <w:rPr>
          <w:rFonts w:cs="Times New Roman"/>
          <w:sz w:val="24"/>
          <w:szCs w:val="24"/>
        </w:rPr>
        <w:t xml:space="preserve">, </w:t>
      </w:r>
      <w:r>
        <w:rPr>
          <w:rFonts w:cs="Times New Roman"/>
          <w:sz w:val="24"/>
          <w:szCs w:val="24"/>
        </w:rPr>
        <w:t>we obtain</w:t>
      </w:r>
      <w:r w:rsidRPr="00DC3C08">
        <w:rPr>
          <w:rFonts w:cs="Times New Roman"/>
          <w:sz w:val="24"/>
          <w:szCs w:val="24"/>
        </w:rPr>
        <w:t>:</w:t>
      </w:r>
    </w:p>
    <w:p w:rsidR="0040687C" w:rsidRPr="00DC3C08" w:rsidRDefault="0040687C" w:rsidP="0040687C">
      <w:pPr>
        <w:pStyle w:val="a3"/>
        <w:wordWrap w:val="0"/>
        <w:spacing w:line="480" w:lineRule="auto"/>
        <w:ind w:firstLine="480"/>
        <w:rPr>
          <w:rFonts w:eastAsia="Arial Unicode MS"/>
          <w:szCs w:val="24"/>
        </w:rPr>
      </w:pPr>
      <w:r w:rsidRPr="00DC3C08">
        <w:rPr>
          <w:position w:val="-34"/>
          <w:szCs w:val="24"/>
        </w:rPr>
        <w:object w:dxaOrig="5440" w:dyaOrig="800">
          <v:shape id="_x0000_i1026" type="#_x0000_t75" style="width:270.45pt;height:40.05pt" o:ole="">
            <v:imagedata r:id="rId14" o:title=""/>
          </v:shape>
          <o:OLEObject Type="Embed" ProgID="Equation.DSMT4" ShapeID="_x0000_i1026" DrawAspect="Content" ObjectID="_1696163670" r:id="rId15"/>
        </w:object>
      </w:r>
      <w:r w:rsidRPr="00DC3C08">
        <w:rPr>
          <w:rFonts w:eastAsia="Arial Unicode MS" w:cs="Times New Roman"/>
          <w:szCs w:val="24"/>
        </w:rPr>
        <w:t xml:space="preserve"> </w:t>
      </w:r>
      <w:r w:rsidRPr="00DC3C08">
        <w:rPr>
          <w:rFonts w:eastAsia="Arial Unicode MS"/>
          <w:szCs w:val="24"/>
        </w:rPr>
        <w:t xml:space="preserve">  </w:t>
      </w:r>
      <w:r w:rsidRPr="00DC3C08">
        <w:rPr>
          <w:rFonts w:eastAsia="Arial Unicode MS" w:hint="eastAsia"/>
          <w:szCs w:val="24"/>
        </w:rPr>
        <w:t xml:space="preserve">    </w:t>
      </w:r>
      <w:r w:rsidRPr="00DC3C08">
        <w:rPr>
          <w:rFonts w:eastAsia="Arial Unicode MS"/>
          <w:szCs w:val="24"/>
        </w:rPr>
        <w:t xml:space="preserve">    </w:t>
      </w:r>
      <w:r w:rsidRPr="00DC3C08">
        <w:rPr>
          <w:rFonts w:eastAsia="Arial Unicode MS" w:hint="eastAsia"/>
          <w:szCs w:val="24"/>
        </w:rPr>
        <w:t xml:space="preserve">     </w:t>
      </w:r>
      <w:r w:rsidRPr="00DC3C08">
        <w:rPr>
          <w:szCs w:val="24"/>
        </w:rPr>
        <w:t xml:space="preserve">  </w:t>
      </w:r>
      <w:r w:rsidRPr="00DC3C08">
        <w:rPr>
          <w:rFonts w:hint="eastAsia"/>
          <w:szCs w:val="24"/>
        </w:rPr>
        <w:t xml:space="preserve"> (</w:t>
      </w:r>
      <w:r w:rsidR="009340CE">
        <w:rPr>
          <w:szCs w:val="24"/>
        </w:rPr>
        <w:t>2</w:t>
      </w:r>
      <w:r w:rsidRPr="00DC3C08">
        <w:rPr>
          <w:rFonts w:hint="eastAsia"/>
          <w:szCs w:val="24"/>
        </w:rPr>
        <w:t>)</w:t>
      </w:r>
    </w:p>
    <w:p w:rsidR="0040687C" w:rsidRPr="00DC3C08" w:rsidRDefault="0040687C" w:rsidP="0040687C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</w:t>
      </w:r>
      <w:r w:rsidRPr="00DC3C08">
        <w:rPr>
          <w:rFonts w:cs="Times New Roman" w:hint="eastAsia"/>
          <w:sz w:val="24"/>
          <w:szCs w:val="24"/>
        </w:rPr>
        <w:t>here</w:t>
      </w:r>
    </w:p>
    <w:p w:rsidR="0040687C" w:rsidRPr="00DC3C08" w:rsidRDefault="0040687C" w:rsidP="0040687C">
      <w:pPr>
        <w:wordWrap w:val="0"/>
        <w:spacing w:line="480" w:lineRule="auto"/>
        <w:jc w:val="right"/>
        <w:rPr>
          <w:rFonts w:cs="Times New Roman"/>
          <w:sz w:val="24"/>
          <w:szCs w:val="24"/>
        </w:rPr>
      </w:pPr>
      <w:r w:rsidRPr="00DC3C08">
        <w:rPr>
          <w:position w:val="-24"/>
          <w:sz w:val="24"/>
          <w:szCs w:val="24"/>
        </w:rPr>
        <w:object w:dxaOrig="1080" w:dyaOrig="620">
          <v:shape id="_x0000_i1027" type="#_x0000_t75" style="width:53.2pt;height:31.95pt" o:ole="">
            <v:imagedata r:id="rId16" o:title=""/>
          </v:shape>
          <o:OLEObject Type="Embed" ProgID="Equation.DSMT4" ShapeID="_x0000_i1027" DrawAspect="Content" ObjectID="_1696163671" r:id="rId17"/>
        </w:object>
      </w:r>
      <w:r w:rsidRPr="00DC3C08">
        <w:rPr>
          <w:rFonts w:eastAsia="Arial Unicode MS"/>
          <w:sz w:val="24"/>
          <w:szCs w:val="24"/>
        </w:rPr>
        <w:t xml:space="preserve">  </w:t>
      </w:r>
      <w:r w:rsidRPr="00DC3C08">
        <w:rPr>
          <w:rFonts w:eastAsia="Arial Unicode MS" w:hint="eastAsia"/>
          <w:sz w:val="24"/>
          <w:szCs w:val="24"/>
        </w:rPr>
        <w:t xml:space="preserve">    </w:t>
      </w:r>
      <w:r>
        <w:rPr>
          <w:rFonts w:eastAsia="Arial Unicode MS"/>
          <w:sz w:val="24"/>
          <w:szCs w:val="24"/>
        </w:rPr>
        <w:t xml:space="preserve">      </w:t>
      </w:r>
      <w:r w:rsidRPr="00DC3C08">
        <w:rPr>
          <w:rFonts w:eastAsia="Arial Unicode MS"/>
          <w:sz w:val="24"/>
          <w:szCs w:val="24"/>
        </w:rPr>
        <w:t xml:space="preserve"> </w:t>
      </w:r>
      <w:r w:rsidRPr="00DC3C08">
        <w:rPr>
          <w:rFonts w:eastAsia="Arial Unicode MS" w:hint="eastAsia"/>
          <w:sz w:val="24"/>
          <w:szCs w:val="24"/>
        </w:rPr>
        <w:t xml:space="preserve">      </w:t>
      </w:r>
      <w:r w:rsidRPr="00DC3C08">
        <w:rPr>
          <w:rFonts w:eastAsia="Arial Unicode MS"/>
          <w:sz w:val="24"/>
          <w:szCs w:val="24"/>
        </w:rPr>
        <w:t xml:space="preserve">         </w:t>
      </w:r>
      <w:r w:rsidRPr="00DC3C08">
        <w:rPr>
          <w:rFonts w:eastAsia="Arial Unicode MS" w:hint="eastAsia"/>
          <w:sz w:val="24"/>
          <w:szCs w:val="24"/>
        </w:rPr>
        <w:t xml:space="preserve">  </w:t>
      </w:r>
      <w:r w:rsidRPr="00DC3C08">
        <w:rPr>
          <w:sz w:val="24"/>
          <w:szCs w:val="24"/>
        </w:rPr>
        <w:t xml:space="preserve">  </w:t>
      </w:r>
      <w:r w:rsidRPr="00DC3C08">
        <w:rPr>
          <w:rFonts w:hint="eastAsia"/>
          <w:sz w:val="24"/>
          <w:szCs w:val="24"/>
        </w:rPr>
        <w:t xml:space="preserve"> (</w:t>
      </w:r>
      <w:r w:rsidR="009340CE">
        <w:rPr>
          <w:sz w:val="24"/>
          <w:szCs w:val="24"/>
        </w:rPr>
        <w:t>3</w:t>
      </w:r>
      <w:r w:rsidRPr="00DC3C08">
        <w:rPr>
          <w:rFonts w:hint="eastAsia"/>
          <w:sz w:val="24"/>
          <w:szCs w:val="24"/>
        </w:rPr>
        <w:t>)</w:t>
      </w:r>
    </w:p>
    <w:p w:rsidR="0040687C" w:rsidRPr="00DC3C08" w:rsidRDefault="0040687C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 w:rsidRPr="00EB306D">
        <w:rPr>
          <w:rFonts w:cs="Times New Roman"/>
          <w:sz w:val="24"/>
          <w:szCs w:val="24"/>
        </w:rPr>
        <w:t>However,</w:t>
      </w:r>
      <w:r>
        <w:rPr>
          <w:rFonts w:cs="Times New Roman"/>
          <w:sz w:val="24"/>
          <w:szCs w:val="24"/>
        </w:rPr>
        <w:t xml:space="preserve"> we find</w:t>
      </w:r>
      <w:r w:rsidRPr="00DC3C08">
        <w:rPr>
          <w:rFonts w:cs="Times New Roman"/>
          <w:sz w:val="24"/>
          <w:szCs w:val="24"/>
        </w:rPr>
        <w:t xml:space="preserve"> the Newton-Leibniz quadrature method </w:t>
      </w:r>
      <w:r>
        <w:rPr>
          <w:rFonts w:cs="Times New Roman"/>
          <w:sz w:val="24"/>
          <w:szCs w:val="24"/>
        </w:rPr>
        <w:t>wa</w:t>
      </w:r>
      <w:r w:rsidRPr="00DC3C08">
        <w:rPr>
          <w:rFonts w:cs="Times New Roman"/>
          <w:sz w:val="24"/>
          <w:szCs w:val="24"/>
        </w:rPr>
        <w:t>s</w:t>
      </w:r>
      <w:r w:rsidRPr="00460410">
        <w:rPr>
          <w:rFonts w:cs="Times New Roman"/>
          <w:sz w:val="24"/>
          <w:szCs w:val="24"/>
        </w:rPr>
        <w:t xml:space="preserve"> </w:t>
      </w:r>
      <w:r w:rsidRPr="00460410">
        <w:rPr>
          <w:rFonts w:cs="Times New Roman"/>
          <w:bCs/>
          <w:sz w:val="24"/>
          <w:szCs w:val="24"/>
        </w:rPr>
        <w:t>difficult to converge</w:t>
      </w:r>
      <w:r>
        <w:rPr>
          <w:rFonts w:cs="Times New Roman"/>
          <w:bCs/>
          <w:sz w:val="24"/>
          <w:szCs w:val="24"/>
        </w:rPr>
        <w:t xml:space="preserve"> as shown in </w:t>
      </w:r>
      <w:r w:rsidRPr="00E34998">
        <w:rPr>
          <w:rFonts w:cs="Times New Roman"/>
          <w:color w:val="00B050"/>
          <w:sz w:val="24"/>
          <w:szCs w:val="24"/>
        </w:rPr>
        <w:t>Table S</w:t>
      </w:r>
      <w:r>
        <w:rPr>
          <w:rFonts w:cs="Times New Roman"/>
          <w:color w:val="00B050"/>
          <w:sz w:val="24"/>
          <w:szCs w:val="24"/>
        </w:rPr>
        <w:t>2</w:t>
      </w:r>
      <w:r w:rsidRPr="00460410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Moreover, it</w:t>
      </w:r>
      <w:r w:rsidRPr="00EB306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is</w:t>
      </w:r>
      <w:r w:rsidRPr="00EB306D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not realistic</w:t>
      </w:r>
      <w:r w:rsidRPr="00EB306D">
        <w:rPr>
          <w:rFonts w:cs="Times New Roman"/>
          <w:sz w:val="24"/>
          <w:szCs w:val="24"/>
        </w:rPr>
        <w:t xml:space="preserve"> to adopt </w:t>
      </w:r>
      <w:r>
        <w:rPr>
          <w:rFonts w:cs="Times New Roman"/>
          <w:sz w:val="24"/>
          <w:szCs w:val="24"/>
        </w:rPr>
        <w:t xml:space="preserve">this method </w:t>
      </w:r>
      <w:r w:rsidRPr="00EB306D">
        <w:rPr>
          <w:rFonts w:cs="Times New Roman"/>
          <w:sz w:val="24"/>
          <w:szCs w:val="24"/>
        </w:rPr>
        <w:t xml:space="preserve">in the kinetic analysis </w:t>
      </w:r>
      <w:r>
        <w:rPr>
          <w:rFonts w:cs="Times New Roman"/>
          <w:sz w:val="24"/>
          <w:szCs w:val="24"/>
        </w:rPr>
        <w:t xml:space="preserve">because it </w:t>
      </w:r>
      <w:r w:rsidRPr="00EB306D">
        <w:rPr>
          <w:rFonts w:cs="Times New Roman"/>
          <w:sz w:val="24"/>
          <w:szCs w:val="24"/>
        </w:rPr>
        <w:t xml:space="preserve">always </w:t>
      </w:r>
      <w:r>
        <w:rPr>
          <w:rFonts w:cs="Times New Roman"/>
          <w:sz w:val="24"/>
          <w:szCs w:val="24"/>
        </w:rPr>
        <w:t>costs massive time to reach a high precision</w:t>
      </w:r>
      <w:r w:rsidRPr="00EB306D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</w:t>
      </w:r>
      <w:r w:rsidRPr="00DC3C08">
        <w:rPr>
          <w:rFonts w:cs="Times New Roman"/>
          <w:sz w:val="24"/>
          <w:szCs w:val="24"/>
        </w:rPr>
        <w:t xml:space="preserve">As shown in </w:t>
      </w:r>
      <w:r w:rsidRPr="00E34998">
        <w:rPr>
          <w:rFonts w:cs="Times New Roman"/>
          <w:color w:val="00B050"/>
          <w:sz w:val="24"/>
          <w:szCs w:val="24"/>
        </w:rPr>
        <w:t>Table S</w:t>
      </w:r>
      <w:r>
        <w:rPr>
          <w:rFonts w:cs="Times New Roman"/>
          <w:color w:val="00B050"/>
          <w:sz w:val="24"/>
          <w:szCs w:val="24"/>
        </w:rPr>
        <w:t>1</w:t>
      </w:r>
      <w:r w:rsidRPr="00DC3C08">
        <w:rPr>
          <w:rFonts w:cs="Times New Roman"/>
          <w:sz w:val="24"/>
          <w:szCs w:val="24"/>
        </w:rPr>
        <w:t xml:space="preserve">, the results converge within 8 accurate digits after the decimal point when the Taylor order </w:t>
      </w:r>
      <w:r w:rsidRPr="00DC3C08">
        <w:rPr>
          <w:rFonts w:cs="Times New Roman"/>
          <w:i/>
          <w:iCs/>
          <w:sz w:val="24"/>
          <w:szCs w:val="24"/>
        </w:rPr>
        <w:t>n</w:t>
      </w:r>
      <w:r w:rsidRPr="00DC3C08">
        <w:rPr>
          <w:rFonts w:cs="Times New Roman"/>
          <w:sz w:val="24"/>
          <w:szCs w:val="24"/>
        </w:rPr>
        <w:t xml:space="preserve"> is only larger than 15. It just takes </w:t>
      </w:r>
      <w:r w:rsidRPr="00C50803">
        <w:rPr>
          <w:rFonts w:cs="Times New Roman"/>
          <w:sz w:val="24"/>
          <w:szCs w:val="24"/>
        </w:rPr>
        <w:t>less than a second</w:t>
      </w:r>
      <w:r w:rsidRPr="00DC3C08">
        <w:rPr>
          <w:rFonts w:cs="Times New Roman"/>
          <w:sz w:val="24"/>
          <w:szCs w:val="24"/>
        </w:rPr>
        <w:t xml:space="preserve"> for an ordinary computer (CPU: Intel I7) to reach such precision. </w:t>
      </w:r>
    </w:p>
    <w:p w:rsidR="0040687C" w:rsidRDefault="005C1820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</w:pPr>
      <w:r>
        <w:rPr>
          <w:rFonts w:cs="Times New Roman" w:hint="eastAsia"/>
          <w:color w:val="00B050"/>
          <w:sz w:val="24"/>
          <w:szCs w:val="24"/>
        </w:rPr>
        <w:t>Table</w:t>
      </w:r>
      <w:r>
        <w:rPr>
          <w:rFonts w:cs="Times New Roman"/>
          <w:color w:val="00B050"/>
          <w:sz w:val="24"/>
          <w:szCs w:val="24"/>
        </w:rPr>
        <w:t xml:space="preserve"> S3</w:t>
      </w:r>
      <w:r w:rsidR="0040687C" w:rsidRPr="00DC3C08">
        <w:rPr>
          <w:rFonts w:cs="Times New Roman"/>
          <w:sz w:val="24"/>
          <w:szCs w:val="24"/>
        </w:rPr>
        <w:t xml:space="preserve"> gives </w:t>
      </w:r>
      <w:r w:rsidR="0040687C">
        <w:rPr>
          <w:rFonts w:cs="Times New Roman"/>
          <w:sz w:val="24"/>
          <w:szCs w:val="24"/>
        </w:rPr>
        <w:t xml:space="preserve">the different temperature integral values calculated by different </w:t>
      </w:r>
      <w:r w:rsidR="0040687C" w:rsidRPr="00DC3C08">
        <w:rPr>
          <w:rFonts w:cs="Times New Roman"/>
          <w:sz w:val="24"/>
          <w:szCs w:val="24"/>
        </w:rPr>
        <w:t>methods. Except the present solution, the other values are calculated based on a published article</w:t>
      </w:r>
      <w:r w:rsidR="0040687C">
        <w:rPr>
          <w:rFonts w:cs="Times New Roman"/>
          <w:color w:val="00B050"/>
          <w:sz w:val="24"/>
          <w:szCs w:val="24"/>
          <w:vertAlign w:val="superscript"/>
        </w:rPr>
        <w:t xml:space="preserve"> </w: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begin" w:fldLock="1"/>
      </w:r>
      <w:r w:rsidR="0080330C">
        <w:rPr>
          <w:rFonts w:cs="Times New Roman"/>
          <w:color w:val="0070C0"/>
          <w:sz w:val="24"/>
          <w:szCs w:val="24"/>
          <w:vertAlign w:val="superscript"/>
        </w:rPr>
        <w:instrText>ADDIN CSL_CITATION {"citationItems":[{"id":"ITEM-1","itemData":{"author":[{"dropping-particle":"","family":"Rao","given":"V.K.","non-dropping-particle":"","parse-names":false,"suffix":""},{"dropping-particle":"","family":"Bardon","given":"M.F.","non-dropping-particle":"","parse-names":false,"suffix":""}],"container-title":"Journal of Thermal Analysis","id":"ITEM-1","issued":{"date-parts":[["1996"]]},"page":"323-326","title":"Integral of the boltzmann factor-A new approximation","type":"article-journal","volume":"46"},"uris":["http://www.mendeley.com/documents/?uuid=fa8d1045-8a9b-4496-a628-07e03d974b97"]}],"mendeley":{"formattedCitation":"[2]","plainTextFormattedCitation":"[2]","previouslyFormattedCitation":"&lt;sup&gt;2&lt;/sup&gt;"},"properties":{"noteIndex":0},"schema":"https://github.com/citation-style-language/schema/raw/master/csl-citation.json"}</w:instrTex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separate"/>
      </w:r>
      <w:r w:rsidR="0080330C" w:rsidRPr="0080330C">
        <w:rPr>
          <w:rFonts w:cs="Times New Roman"/>
          <w:noProof/>
          <w:color w:val="0070C0"/>
          <w:sz w:val="24"/>
          <w:szCs w:val="24"/>
        </w:rPr>
        <w:t>[2]</w: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end"/>
      </w:r>
      <w:r w:rsidR="0040687C" w:rsidRPr="00DC3C08">
        <w:rPr>
          <w:rFonts w:cs="Times New Roman"/>
          <w:sz w:val="24"/>
          <w:szCs w:val="24"/>
        </w:rPr>
        <w:t xml:space="preserve"> where the original values are equivalent to </w:t>
      </w:r>
      <w:r w:rsidR="0040687C" w:rsidRPr="00DC3C08">
        <w:rPr>
          <w:rFonts w:eastAsia="Arial Unicode MS" w:cs="Times New Roman"/>
          <w:i/>
          <w:sz w:val="24"/>
          <w:szCs w:val="24"/>
        </w:rPr>
        <w:t>Ψ</w:t>
      </w:r>
      <w:r w:rsidR="0040687C" w:rsidRPr="00DC3C08">
        <w:rPr>
          <w:rFonts w:eastAsia="Arial Unicode MS" w:cs="Times New Roman"/>
          <w:iCs/>
          <w:sz w:val="24"/>
          <w:szCs w:val="24"/>
        </w:rPr>
        <w:t>/[</w:t>
      </w:r>
      <w:r w:rsidR="0040687C" w:rsidRPr="00DC3C08">
        <w:rPr>
          <w:rFonts w:eastAsia="Arial Unicode MS" w:cs="Times New Roman"/>
          <w:i/>
          <w:sz w:val="24"/>
          <w:szCs w:val="24"/>
        </w:rPr>
        <w:t>T</w:t>
      </w:r>
      <w:r w:rsidR="0040687C" w:rsidRPr="00DC3C08">
        <w:rPr>
          <w:rFonts w:eastAsia="Arial Unicode MS" w:cs="Times New Roman"/>
          <w:iCs/>
          <w:sz w:val="24"/>
          <w:szCs w:val="24"/>
        </w:rPr>
        <w:t>·</w:t>
      </w:r>
      <w:r w:rsidR="0040687C" w:rsidRPr="00DC3C08">
        <w:rPr>
          <w:rFonts w:eastAsia="Arial Unicode MS" w:cs="Times New Roman" w:hint="eastAsia"/>
          <w:iCs/>
          <w:sz w:val="24"/>
          <w:szCs w:val="24"/>
        </w:rPr>
        <w:t>e</w:t>
      </w:r>
      <w:r w:rsidR="0040687C" w:rsidRPr="00DC3C08">
        <w:rPr>
          <w:rFonts w:eastAsia="Arial Unicode MS" w:cs="Times New Roman"/>
          <w:iCs/>
          <w:sz w:val="24"/>
          <w:szCs w:val="24"/>
        </w:rPr>
        <w:t>xp(-</w:t>
      </w:r>
      <w:r w:rsidR="0040687C" w:rsidRPr="00DC3C08">
        <w:rPr>
          <w:rFonts w:cs="Times New Roman"/>
          <w:i/>
          <w:iCs/>
          <w:sz w:val="24"/>
          <w:szCs w:val="24"/>
        </w:rPr>
        <w:t>E</w:t>
      </w:r>
      <w:r w:rsidR="0040687C" w:rsidRPr="00DC3C08">
        <w:rPr>
          <w:rFonts w:cs="Times New Roman"/>
          <w:i/>
          <w:iCs/>
          <w:sz w:val="24"/>
          <w:szCs w:val="24"/>
          <w:vertAlign w:val="subscript"/>
        </w:rPr>
        <w:t>a</w:t>
      </w:r>
      <w:r w:rsidR="0040687C" w:rsidRPr="00DC3C08">
        <w:rPr>
          <w:rFonts w:cs="Times New Roman"/>
          <w:sz w:val="24"/>
          <w:szCs w:val="24"/>
        </w:rPr>
        <w:t>/(</w:t>
      </w:r>
      <w:r w:rsidR="0040687C" w:rsidRPr="00DC3C08">
        <w:rPr>
          <w:rFonts w:cs="Times New Roman"/>
          <w:i/>
          <w:sz w:val="24"/>
          <w:szCs w:val="24"/>
        </w:rPr>
        <w:t>R</w:t>
      </w:r>
      <w:r w:rsidR="0040687C" w:rsidRPr="00DC3C08">
        <w:rPr>
          <w:rFonts w:cs="Times New Roman"/>
          <w:i/>
          <w:iCs/>
          <w:sz w:val="24"/>
          <w:szCs w:val="24"/>
        </w:rPr>
        <w:t>T</w:t>
      </w:r>
      <w:r w:rsidR="0040687C" w:rsidRPr="00DC3C08">
        <w:rPr>
          <w:rFonts w:cs="Times New Roman"/>
          <w:sz w:val="24"/>
          <w:szCs w:val="24"/>
        </w:rPr>
        <w:t>))]</w:t>
      </w:r>
      <w:r w:rsidR="0040687C" w:rsidRPr="00DC3C08">
        <w:rPr>
          <w:rFonts w:cs="Times New Roman" w:hint="eastAsia"/>
          <w:sz w:val="24"/>
          <w:szCs w:val="24"/>
        </w:rPr>
        <w:t>.</w:t>
      </w:r>
      <w:r w:rsidR="0040687C" w:rsidRPr="00DC3C08">
        <w:rPr>
          <w:rFonts w:cs="Times New Roman"/>
          <w:sz w:val="24"/>
          <w:szCs w:val="24"/>
        </w:rPr>
        <w:t xml:space="preserve"> </w:t>
      </w:r>
      <w:r w:rsidR="0040687C">
        <w:rPr>
          <w:rFonts w:cs="Times New Roman"/>
          <w:sz w:val="24"/>
          <w:szCs w:val="24"/>
        </w:rPr>
        <w:t>It shows t</w:t>
      </w:r>
      <w:r w:rsidR="0040687C" w:rsidRPr="008F5031">
        <w:rPr>
          <w:rFonts w:cs="Times New Roman"/>
          <w:sz w:val="24"/>
          <w:szCs w:val="24"/>
        </w:rPr>
        <w:t>he approximation methods have bad agreement</w:t>
      </w:r>
      <w:r w:rsidR="0040687C">
        <w:rPr>
          <w:rFonts w:cs="Times New Roman"/>
          <w:sz w:val="24"/>
          <w:szCs w:val="24"/>
        </w:rPr>
        <w:t>s</w:t>
      </w:r>
      <w:r w:rsidR="0040687C" w:rsidRPr="008F5031">
        <w:rPr>
          <w:rFonts w:cs="Times New Roman"/>
          <w:sz w:val="24"/>
          <w:szCs w:val="24"/>
        </w:rPr>
        <w:t xml:space="preserve"> with present solution</w:t>
      </w:r>
      <w:r w:rsidR="0040687C" w:rsidRPr="008F5031">
        <w:rPr>
          <w:rFonts w:cs="Times New Roman" w:hint="eastAsia"/>
          <w:sz w:val="24"/>
          <w:szCs w:val="24"/>
        </w:rPr>
        <w:t>.</w:t>
      </w:r>
      <w:r w:rsidR="0040687C" w:rsidRPr="008F5031">
        <w:rPr>
          <w:rFonts w:cs="Times New Roman"/>
          <w:sz w:val="24"/>
          <w:szCs w:val="24"/>
        </w:rPr>
        <w:t xml:space="preserve"> </w:t>
      </w:r>
      <w:r w:rsidR="0040687C">
        <w:rPr>
          <w:rFonts w:cs="Times New Roman"/>
          <w:sz w:val="24"/>
          <w:szCs w:val="24"/>
        </w:rPr>
        <w:t xml:space="preserve">Comparing Rao’s </w: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begin" w:fldLock="1"/>
      </w:r>
      <w:r w:rsidR="0080330C">
        <w:rPr>
          <w:rFonts w:cs="Times New Roman"/>
          <w:color w:val="0070C0"/>
          <w:sz w:val="24"/>
          <w:szCs w:val="24"/>
          <w:vertAlign w:val="superscript"/>
        </w:rPr>
        <w:instrText>ADDIN CSL_CITATION {"citationItems":[{"id":"ITEM-1","itemData":{"author":[{"dropping-particle":"","family":"Rao","given":"V.K.","non-dropping-particle":"","parse-names":false,"suffix":""},{"dropping-particle":"","family":"Bardon","given":"M.F.","non-dropping-particle":"","parse-names":false,"suffix":""}],"container-title":"Journal of Thermal Analysis","id":"ITEM-1","issued":{"date-parts":[["1996"]]},"page":"323-326","title":"Integral of the boltzmann factor-A new approximation","type":"article-journal","volume":"46"},"uris":["http://www.mendeley.com/documents/?uuid=fa8d1045-8a9b-4496-a628-07e03d974b97"]}],"mendeley":{"formattedCitation":"[2]","plainTextFormattedCitation":"[2]","previouslyFormattedCitation":"&lt;sup&gt;2&lt;/sup&gt;"},"properties":{"noteIndex":0},"schema":"https://github.com/citation-style-language/schema/raw/master/csl-citation.json"}</w:instrTex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separate"/>
      </w:r>
      <w:r w:rsidR="0080330C" w:rsidRPr="0080330C">
        <w:rPr>
          <w:rFonts w:cs="Times New Roman"/>
          <w:noProof/>
          <w:color w:val="0070C0"/>
          <w:sz w:val="24"/>
          <w:szCs w:val="24"/>
        </w:rPr>
        <w:t>[2]</w:t>
      </w:r>
      <w:r w:rsidR="0040687C" w:rsidRPr="00340C68">
        <w:rPr>
          <w:rFonts w:cs="Times New Roman"/>
          <w:color w:val="0070C0"/>
          <w:sz w:val="24"/>
          <w:szCs w:val="24"/>
          <w:vertAlign w:val="superscript"/>
        </w:rPr>
        <w:fldChar w:fldCharType="end"/>
      </w:r>
      <w:r w:rsidR="0040687C">
        <w:rPr>
          <w:rFonts w:cs="Times New Roman"/>
          <w:sz w:val="24"/>
          <w:szCs w:val="24"/>
        </w:rPr>
        <w:t xml:space="preserve"> results with present method, we find that t</w:t>
      </w:r>
      <w:r w:rsidR="0040687C" w:rsidRPr="008F5031">
        <w:rPr>
          <w:rFonts w:cs="Times New Roman"/>
          <w:sz w:val="24"/>
          <w:szCs w:val="24"/>
        </w:rPr>
        <w:t xml:space="preserve">he </w:t>
      </w:r>
      <w:r w:rsidR="0040687C" w:rsidRPr="00DC3C08">
        <w:rPr>
          <w:rFonts w:cs="Times New Roman"/>
          <w:sz w:val="24"/>
          <w:szCs w:val="24"/>
        </w:rPr>
        <w:t>Newton-Leibniz</w:t>
      </w:r>
      <w:r w:rsidR="0040687C" w:rsidRPr="008F5031">
        <w:rPr>
          <w:rFonts w:cs="Times New Roman"/>
          <w:sz w:val="24"/>
          <w:szCs w:val="24"/>
        </w:rPr>
        <w:t xml:space="preserve"> numerical quadrature method </w:t>
      </w:r>
      <w:r w:rsidR="0040687C">
        <w:rPr>
          <w:rFonts w:cs="Times New Roman"/>
          <w:sz w:val="24"/>
          <w:szCs w:val="24"/>
        </w:rPr>
        <w:t xml:space="preserve">even </w:t>
      </w:r>
      <w:r w:rsidR="0040687C" w:rsidRPr="008F5031">
        <w:rPr>
          <w:rFonts w:cs="Times New Roman"/>
          <w:sz w:val="24"/>
          <w:szCs w:val="24"/>
        </w:rPr>
        <w:t>provide</w:t>
      </w:r>
      <w:r w:rsidR="0040687C">
        <w:rPr>
          <w:rFonts w:cs="Times New Roman"/>
          <w:sz w:val="24"/>
          <w:szCs w:val="24"/>
        </w:rPr>
        <w:t>s</w:t>
      </w:r>
      <w:r w:rsidR="0040687C" w:rsidRPr="008F5031">
        <w:rPr>
          <w:rFonts w:cs="Times New Roman"/>
          <w:sz w:val="24"/>
          <w:szCs w:val="24"/>
        </w:rPr>
        <w:t xml:space="preserve"> unreliable values particularly when the value of </w:t>
      </w:r>
      <w:r w:rsidR="0040687C" w:rsidRPr="008F5031">
        <w:rPr>
          <w:rFonts w:cs="Times New Roman"/>
          <w:i/>
          <w:iCs/>
          <w:sz w:val="24"/>
          <w:szCs w:val="24"/>
        </w:rPr>
        <w:t>x</w:t>
      </w:r>
      <w:r w:rsidR="0040687C" w:rsidRPr="008F5031">
        <w:rPr>
          <w:rFonts w:cs="Times New Roman"/>
          <w:sz w:val="24"/>
          <w:szCs w:val="24"/>
        </w:rPr>
        <w:t xml:space="preserve"> tends to minor.</w:t>
      </w:r>
      <w:r w:rsidR="0040687C" w:rsidRPr="00DC3C08">
        <w:rPr>
          <w:rFonts w:cs="Times New Roman"/>
          <w:sz w:val="24"/>
          <w:szCs w:val="24"/>
        </w:rPr>
        <w:t xml:space="preserve"> </w:t>
      </w:r>
    </w:p>
    <w:p w:rsidR="005C1820" w:rsidRDefault="005C1820" w:rsidP="0040687C">
      <w:pPr>
        <w:spacing w:line="480" w:lineRule="auto"/>
        <w:ind w:firstLineChars="100" w:firstLine="240"/>
        <w:rPr>
          <w:rFonts w:cs="Times New Roman"/>
          <w:sz w:val="24"/>
          <w:szCs w:val="24"/>
        </w:rPr>
        <w:sectPr w:rsidR="005C1820" w:rsidSect="007127A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C1820" w:rsidRPr="00AA1E07" w:rsidRDefault="005C1820" w:rsidP="00F4009C">
      <w:pPr>
        <w:spacing w:line="480" w:lineRule="auto"/>
        <w:jc w:val="center"/>
        <w:outlineLvl w:val="0"/>
        <w:rPr>
          <w:rFonts w:cs="Times New Roman"/>
          <w:b/>
          <w:color w:val="00B050"/>
          <w:sz w:val="24"/>
          <w:szCs w:val="24"/>
        </w:rPr>
      </w:pPr>
      <w:r w:rsidRPr="00AA1E07">
        <w:rPr>
          <w:rFonts w:cs="Times New Roman" w:hint="eastAsia"/>
          <w:b/>
          <w:color w:val="00B050"/>
          <w:sz w:val="24"/>
          <w:szCs w:val="24"/>
        </w:rPr>
        <w:lastRenderedPageBreak/>
        <w:t>T</w:t>
      </w:r>
      <w:r w:rsidRPr="00AA1E07">
        <w:rPr>
          <w:rFonts w:cs="Times New Roman"/>
          <w:b/>
          <w:color w:val="00B050"/>
          <w:sz w:val="24"/>
          <w:szCs w:val="24"/>
        </w:rPr>
        <w:t>able S2 Results of the Newton-Leibniz quadrature method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122"/>
        <w:gridCol w:w="1598"/>
        <w:gridCol w:w="1559"/>
        <w:gridCol w:w="1755"/>
        <w:gridCol w:w="1559"/>
        <w:gridCol w:w="1364"/>
        <w:gridCol w:w="1559"/>
        <w:gridCol w:w="1755"/>
        <w:gridCol w:w="1677"/>
      </w:tblGrid>
      <w:tr w:rsidR="005C1820" w:rsidRPr="00F10646" w:rsidTr="005C1820">
        <w:trPr>
          <w:trHeight w:val="582"/>
          <w:jc w:val="center"/>
        </w:trPr>
        <w:tc>
          <w:tcPr>
            <w:tcW w:w="402" w:type="pct"/>
            <w:vMerge w:val="restar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/>
                <w:szCs w:val="21"/>
              </w:rPr>
              <w:t xml:space="preserve">Quadr-ature node </w:t>
            </w:r>
            <w:r w:rsidRPr="00F10646">
              <w:rPr>
                <w:rFonts w:cs="Times New Roman"/>
                <w:i/>
                <w:iCs/>
                <w:szCs w:val="21"/>
              </w:rPr>
              <w:t>m</w:t>
            </w:r>
          </w:p>
        </w:tc>
        <w:tc>
          <w:tcPr>
            <w:tcW w:w="1132" w:type="pct"/>
            <w:gridSpan w:val="2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 J/mol</w:t>
            </w:r>
          </w:p>
        </w:tc>
        <w:tc>
          <w:tcPr>
            <w:tcW w:w="1188" w:type="pct"/>
            <w:gridSpan w:val="2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 J/mol</w:t>
            </w:r>
          </w:p>
        </w:tc>
        <w:tc>
          <w:tcPr>
            <w:tcW w:w="1048" w:type="pct"/>
            <w:gridSpan w:val="2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=20000 J/mol</w:t>
            </w:r>
          </w:p>
        </w:tc>
        <w:tc>
          <w:tcPr>
            <w:tcW w:w="1230" w:type="pct"/>
            <w:gridSpan w:val="2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E</w:t>
            </w:r>
            <w:r w:rsidRPr="00F10646">
              <w:rPr>
                <w:rFonts w:cs="Times New Roman"/>
                <w:i/>
                <w:iCs/>
                <w:szCs w:val="21"/>
                <w:vertAlign w:val="subscript"/>
              </w:rPr>
              <w:t>a</w:t>
            </w:r>
            <w:r w:rsidRPr="00F10646">
              <w:rPr>
                <w:rFonts w:cs="Times New Roman"/>
                <w:szCs w:val="21"/>
              </w:rPr>
              <w:t>=200000 J/mol</w:t>
            </w:r>
          </w:p>
        </w:tc>
      </w:tr>
      <w:tr w:rsidR="005C1820" w:rsidRPr="00F10646" w:rsidTr="005C1820">
        <w:trPr>
          <w:trHeight w:val="110"/>
          <w:jc w:val="center"/>
        </w:trPr>
        <w:tc>
          <w:tcPr>
            <w:tcW w:w="402" w:type="pct"/>
            <w:vMerge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573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62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48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55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  <w:tc>
          <w:tcPr>
            <w:tcW w:w="629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=600 K</w:t>
            </w:r>
          </w:p>
        </w:tc>
        <w:tc>
          <w:tcPr>
            <w:tcW w:w="601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i/>
                <w:iCs/>
                <w:szCs w:val="21"/>
              </w:rPr>
              <w:t>T</w:t>
            </w:r>
            <w:r w:rsidRPr="00F10646">
              <w:rPr>
                <w:rFonts w:cs="Times New Roman"/>
                <w:szCs w:val="21"/>
              </w:rPr>
              <w:t>=1200 K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E+02</w:t>
            </w:r>
          </w:p>
        </w:tc>
        <w:tc>
          <w:tcPr>
            <w:tcW w:w="573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304.84987233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910.68041913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288.48730649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877.78754503 </w:t>
            </w:r>
          </w:p>
        </w:tc>
        <w:tc>
          <w:tcPr>
            <w:tcW w:w="48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1.91652897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45.37009283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6.12793756E-17</w:t>
            </w:r>
          </w:p>
        </w:tc>
        <w:tc>
          <w:tcPr>
            <w:tcW w:w="601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1.16596876E-07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E+03</w:t>
            </w:r>
          </w:p>
        </w:tc>
        <w:tc>
          <w:tcPr>
            <w:tcW w:w="573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302.13351522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902.56652506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285.92824787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870.06645411 </w:t>
            </w:r>
          </w:p>
        </w:tc>
        <w:tc>
          <w:tcPr>
            <w:tcW w:w="48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1.89135955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44.82059549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5.58241547E-17</w:t>
            </w:r>
          </w:p>
        </w:tc>
        <w:tc>
          <w:tcPr>
            <w:tcW w:w="601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1.08390284E-07</w:t>
            </w:r>
          </w:p>
        </w:tc>
      </w:tr>
      <w:tr w:rsidR="005C1820" w:rsidRPr="003038B6" w:rsidTr="005C1820">
        <w:trPr>
          <w:jc w:val="center"/>
        </w:trPr>
        <w:tc>
          <w:tcPr>
            <w:tcW w:w="402" w:type="pct"/>
            <w:vAlign w:val="center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-0.008990585</w:t>
            </w:r>
          </w:p>
        </w:tc>
        <w:tc>
          <w:tcPr>
            <w:tcW w:w="55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-0.00899</w:t>
            </w:r>
          </w:p>
        </w:tc>
        <w:tc>
          <w:tcPr>
            <w:tcW w:w="62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-0.00895</w:t>
            </w:r>
          </w:p>
        </w:tc>
        <w:tc>
          <w:tcPr>
            <w:tcW w:w="55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-0.00887</w:t>
            </w:r>
          </w:p>
        </w:tc>
        <w:tc>
          <w:tcPr>
            <w:tcW w:w="48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-0.01331</w:t>
            </w:r>
          </w:p>
        </w:tc>
        <w:tc>
          <w:tcPr>
            <w:tcW w:w="55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-0.01226</w:t>
            </w:r>
          </w:p>
        </w:tc>
        <w:tc>
          <w:tcPr>
            <w:tcW w:w="629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-0.09772</w:t>
            </w:r>
          </w:p>
        </w:tc>
        <w:tc>
          <w:tcPr>
            <w:tcW w:w="601" w:type="pct"/>
            <w:vAlign w:val="bottom"/>
          </w:tcPr>
          <w:p w:rsidR="005C1820" w:rsidRPr="003038B6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3038B6">
              <w:rPr>
                <w:rFonts w:eastAsia="等线" w:cs="Times New Roman"/>
                <w:color w:val="00B050"/>
                <w:sz w:val="22"/>
              </w:rPr>
              <w:t>-0.07571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E+04</w:t>
            </w:r>
          </w:p>
        </w:tc>
        <w:tc>
          <w:tcPr>
            <w:tcW w:w="573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301.86187937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901.75513412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285.67232943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869.29420397 </w:t>
            </w:r>
          </w:p>
        </w:tc>
        <w:tc>
          <w:tcPr>
            <w:tcW w:w="48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1.88885024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44.76577660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5.52961379E-17</w:t>
            </w:r>
          </w:p>
        </w:tc>
        <w:tc>
          <w:tcPr>
            <w:tcW w:w="601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1.07589474E-07</w:t>
            </w:r>
          </w:p>
        </w:tc>
      </w:tr>
      <w:tr w:rsidR="005C1820" w:rsidRPr="002F0572" w:rsidTr="005C1820">
        <w:trPr>
          <w:jc w:val="center"/>
        </w:trPr>
        <w:tc>
          <w:tcPr>
            <w:tcW w:w="402" w:type="pct"/>
            <w:vAlign w:val="center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-0.000899059</w:t>
            </w:r>
          </w:p>
        </w:tc>
        <w:tc>
          <w:tcPr>
            <w:tcW w:w="55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-0.0009</w:t>
            </w:r>
          </w:p>
        </w:tc>
        <w:tc>
          <w:tcPr>
            <w:tcW w:w="62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-0.0009</w:t>
            </w:r>
          </w:p>
        </w:tc>
        <w:tc>
          <w:tcPr>
            <w:tcW w:w="55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-0.00089</w:t>
            </w:r>
          </w:p>
        </w:tc>
        <w:tc>
          <w:tcPr>
            <w:tcW w:w="48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-0.00133</w:t>
            </w:r>
          </w:p>
        </w:tc>
        <w:tc>
          <w:tcPr>
            <w:tcW w:w="55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-0.00122</w:t>
            </w:r>
          </w:p>
        </w:tc>
        <w:tc>
          <w:tcPr>
            <w:tcW w:w="629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-0.00946</w:t>
            </w:r>
          </w:p>
        </w:tc>
        <w:tc>
          <w:tcPr>
            <w:tcW w:w="601" w:type="pct"/>
            <w:vAlign w:val="bottom"/>
          </w:tcPr>
          <w:p w:rsidR="005C1820" w:rsidRPr="002F0572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2F0572">
              <w:rPr>
                <w:rFonts w:eastAsia="等线" w:cs="Times New Roman"/>
                <w:color w:val="00B050"/>
                <w:sz w:val="22"/>
              </w:rPr>
              <w:t>-0.00739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E+05</w:t>
            </w:r>
          </w:p>
        </w:tc>
        <w:tc>
          <w:tcPr>
            <w:tcW w:w="573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301.83471578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901.67399501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285.64673746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869.21697755 </w:t>
            </w:r>
          </w:p>
        </w:tc>
        <w:tc>
          <w:tcPr>
            <w:tcW w:w="48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1.88859939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44.76029602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5.52435114E-17</w:t>
            </w:r>
          </w:p>
        </w:tc>
        <w:tc>
          <w:tcPr>
            <w:tcW w:w="601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1.07509592E-07</w:t>
            </w:r>
          </w:p>
        </w:tc>
      </w:tr>
      <w:tr w:rsidR="005C1820" w:rsidRPr="00EF21AF" w:rsidTr="005C1820">
        <w:trPr>
          <w:jc w:val="center"/>
        </w:trPr>
        <w:tc>
          <w:tcPr>
            <w:tcW w:w="402" w:type="pct"/>
            <w:vAlign w:val="center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-8.99949E-05</w:t>
            </w:r>
          </w:p>
        </w:tc>
        <w:tc>
          <w:tcPr>
            <w:tcW w:w="55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-9E-05</w:t>
            </w:r>
          </w:p>
        </w:tc>
        <w:tc>
          <w:tcPr>
            <w:tcW w:w="62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-9E-05</w:t>
            </w:r>
          </w:p>
        </w:tc>
        <w:tc>
          <w:tcPr>
            <w:tcW w:w="55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-8.9E-05</w:t>
            </w:r>
          </w:p>
        </w:tc>
        <w:tc>
          <w:tcPr>
            <w:tcW w:w="48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-0.00013</w:t>
            </w:r>
          </w:p>
        </w:tc>
        <w:tc>
          <w:tcPr>
            <w:tcW w:w="55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-0.00012</w:t>
            </w:r>
          </w:p>
        </w:tc>
        <w:tc>
          <w:tcPr>
            <w:tcW w:w="629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-0.00095</w:t>
            </w:r>
          </w:p>
        </w:tc>
        <w:tc>
          <w:tcPr>
            <w:tcW w:w="601" w:type="pct"/>
            <w:vAlign w:val="bottom"/>
          </w:tcPr>
          <w:p w:rsidR="005C1820" w:rsidRPr="00EF21AF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EF21AF">
              <w:rPr>
                <w:rFonts w:eastAsia="等线" w:cs="Times New Roman"/>
                <w:color w:val="00B050"/>
                <w:sz w:val="22"/>
              </w:rPr>
              <w:t>-0.00074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rFonts w:cs="Times New Roman" w:hint="eastAsia"/>
                <w:szCs w:val="21"/>
              </w:rPr>
              <w:t>1</w:t>
            </w:r>
            <w:r w:rsidRPr="00F10646">
              <w:rPr>
                <w:rFonts w:cs="Times New Roman"/>
                <w:szCs w:val="21"/>
              </w:rPr>
              <w:t>E+06</w:t>
            </w:r>
          </w:p>
        </w:tc>
        <w:tc>
          <w:tcPr>
            <w:tcW w:w="573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301.83199942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901.66588110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285.64417826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869.20925489 </w:t>
            </w:r>
          </w:p>
        </w:tc>
        <w:tc>
          <w:tcPr>
            <w:tcW w:w="48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1.88857430 </w:t>
            </w:r>
          </w:p>
        </w:tc>
        <w:tc>
          <w:tcPr>
            <w:tcW w:w="55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 xml:space="preserve">44.75974797 </w:t>
            </w:r>
          </w:p>
        </w:tc>
        <w:tc>
          <w:tcPr>
            <w:tcW w:w="629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5.52382505E-17</w:t>
            </w:r>
          </w:p>
        </w:tc>
        <w:tc>
          <w:tcPr>
            <w:tcW w:w="601" w:type="pct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F10646">
              <w:rPr>
                <w:szCs w:val="21"/>
              </w:rPr>
              <w:t>1.07501606E-07</w:t>
            </w:r>
          </w:p>
        </w:tc>
      </w:tr>
      <w:tr w:rsidR="005C1820" w:rsidRPr="00F10646" w:rsidTr="005C1820">
        <w:trPr>
          <w:jc w:val="center"/>
        </w:trPr>
        <w:tc>
          <w:tcPr>
            <w:tcW w:w="402" w:type="pct"/>
            <w:vAlign w:val="center"/>
          </w:tcPr>
          <w:p w:rsidR="005C1820" w:rsidRPr="00F10646" w:rsidRDefault="005C1820" w:rsidP="005C1820">
            <w:pPr>
              <w:jc w:val="center"/>
              <w:rPr>
                <w:rFonts w:cs="Times New Roman"/>
                <w:szCs w:val="21"/>
              </w:rPr>
            </w:pPr>
            <w:r w:rsidRPr="002F0572">
              <w:rPr>
                <w:rFonts w:cs="Times New Roman"/>
                <w:i/>
                <w:iCs/>
                <w:color w:val="00B050"/>
                <w:szCs w:val="21"/>
              </w:rPr>
              <w:t>δ</w:t>
            </w:r>
          </w:p>
        </w:tc>
        <w:tc>
          <w:tcPr>
            <w:tcW w:w="573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-8.99949E-06</w:t>
            </w:r>
          </w:p>
        </w:tc>
        <w:tc>
          <w:tcPr>
            <w:tcW w:w="55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-9E-06</w:t>
            </w:r>
          </w:p>
        </w:tc>
        <w:tc>
          <w:tcPr>
            <w:tcW w:w="62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-9E-06</w:t>
            </w:r>
          </w:p>
        </w:tc>
        <w:tc>
          <w:tcPr>
            <w:tcW w:w="55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-8.9E-06</w:t>
            </w:r>
          </w:p>
        </w:tc>
        <w:tc>
          <w:tcPr>
            <w:tcW w:w="48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-1.3E-05</w:t>
            </w:r>
          </w:p>
        </w:tc>
        <w:tc>
          <w:tcPr>
            <w:tcW w:w="55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-1.2E-05</w:t>
            </w:r>
          </w:p>
        </w:tc>
        <w:tc>
          <w:tcPr>
            <w:tcW w:w="629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-9.5E-05</w:t>
            </w:r>
          </w:p>
        </w:tc>
        <w:tc>
          <w:tcPr>
            <w:tcW w:w="601" w:type="pct"/>
            <w:vAlign w:val="bottom"/>
          </w:tcPr>
          <w:p w:rsidR="005C1820" w:rsidRPr="0095254D" w:rsidRDefault="005C1820" w:rsidP="005C1820">
            <w:pPr>
              <w:jc w:val="center"/>
              <w:rPr>
                <w:rFonts w:cs="Times New Roman"/>
                <w:color w:val="00B050"/>
                <w:szCs w:val="21"/>
              </w:rPr>
            </w:pPr>
            <w:r w:rsidRPr="0095254D">
              <w:rPr>
                <w:rFonts w:eastAsia="等线" w:cs="Times New Roman"/>
                <w:color w:val="00B050"/>
                <w:sz w:val="22"/>
              </w:rPr>
              <w:t>-7.4E-05</w:t>
            </w:r>
          </w:p>
        </w:tc>
      </w:tr>
    </w:tbl>
    <w:p w:rsidR="005C1820" w:rsidRDefault="005C1820" w:rsidP="005C1820">
      <w:pPr>
        <w:spacing w:line="480" w:lineRule="auto"/>
        <w:rPr>
          <w:rFonts w:cs="Times New Roman"/>
          <w:sz w:val="24"/>
          <w:szCs w:val="24"/>
        </w:rPr>
        <w:sectPr w:rsidR="005C1820" w:rsidSect="005C182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0687C" w:rsidRPr="000A6BB0" w:rsidRDefault="0040687C" w:rsidP="0040687C">
      <w:pPr>
        <w:spacing w:line="480" w:lineRule="auto"/>
        <w:jc w:val="center"/>
        <w:rPr>
          <w:rFonts w:cs="Times New Roman"/>
          <w:b/>
          <w:bCs/>
          <w:color w:val="00B050"/>
          <w:sz w:val="24"/>
          <w:szCs w:val="24"/>
        </w:rPr>
      </w:pPr>
      <w:r w:rsidRPr="000A6BB0">
        <w:rPr>
          <w:rFonts w:cs="Times New Roman" w:hint="eastAsia"/>
          <w:b/>
          <w:bCs/>
          <w:color w:val="00B050"/>
          <w:sz w:val="24"/>
          <w:szCs w:val="24"/>
        </w:rPr>
        <w:lastRenderedPageBreak/>
        <w:t>T</w:t>
      </w:r>
      <w:r w:rsidRPr="000A6BB0">
        <w:rPr>
          <w:rFonts w:cs="Times New Roman"/>
          <w:b/>
          <w:bCs/>
          <w:color w:val="00B050"/>
          <w:sz w:val="24"/>
          <w:szCs w:val="24"/>
        </w:rPr>
        <w:t xml:space="preserve">able </w:t>
      </w:r>
      <w:r w:rsidR="005C1820" w:rsidRPr="000A6BB0">
        <w:rPr>
          <w:rFonts w:cs="Times New Roman"/>
          <w:b/>
          <w:bCs/>
          <w:color w:val="00B050"/>
          <w:sz w:val="24"/>
          <w:szCs w:val="24"/>
        </w:rPr>
        <w:t>S3</w:t>
      </w:r>
      <w:r w:rsidRPr="000A6BB0">
        <w:rPr>
          <w:rFonts w:cs="Times New Roman"/>
          <w:b/>
          <w:bCs/>
          <w:color w:val="00B050"/>
          <w:sz w:val="24"/>
          <w:szCs w:val="24"/>
        </w:rPr>
        <w:t xml:space="preserve"> The temperature integral value calculated by the present method and the other approximation method</w:t>
      </w:r>
    </w:p>
    <w:tbl>
      <w:tblPr>
        <w:tblStyle w:val="a4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"/>
        <w:gridCol w:w="1288"/>
        <w:gridCol w:w="1340"/>
        <w:gridCol w:w="1103"/>
        <w:gridCol w:w="1311"/>
        <w:gridCol w:w="1208"/>
        <w:gridCol w:w="1150"/>
      </w:tblGrid>
      <w:tr w:rsidR="0040687C" w:rsidRPr="00CC5062" w:rsidTr="005C1820">
        <w:trPr>
          <w:trHeight w:val="221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b/>
                <w:bCs/>
                <w:i/>
                <w:iCs/>
                <w:sz w:val="18"/>
                <w:szCs w:val="18"/>
              </w:rPr>
              <w:t>x</w:t>
            </w:r>
            <w:r w:rsidRPr="00CC5062">
              <w:rPr>
                <w:rFonts w:cs="Times New Roman"/>
                <w:sz w:val="18"/>
                <w:szCs w:val="18"/>
              </w:rPr>
              <w:t xml:space="preserve"> (</w:t>
            </w:r>
            <w:r w:rsidRPr="00CC5062">
              <w:rPr>
                <w:rFonts w:cs="Times New Roman"/>
                <w:i/>
                <w:iCs/>
                <w:sz w:val="18"/>
                <w:szCs w:val="18"/>
              </w:rPr>
              <w:t>E</w:t>
            </w:r>
            <w:r w:rsidRPr="00CC5062">
              <w:rPr>
                <w:rFonts w:cs="Times New Roman"/>
                <w:i/>
                <w:iCs/>
                <w:sz w:val="18"/>
                <w:szCs w:val="18"/>
                <w:vertAlign w:val="subscript"/>
              </w:rPr>
              <w:t>a</w:t>
            </w:r>
            <w:r w:rsidRPr="00CC5062">
              <w:rPr>
                <w:rFonts w:cs="Times New Roman"/>
                <w:sz w:val="18"/>
                <w:szCs w:val="18"/>
              </w:rPr>
              <w:t>/(</w:t>
            </w:r>
            <w:r w:rsidRPr="00CC5062">
              <w:rPr>
                <w:rFonts w:cs="Times New Roman"/>
                <w:i/>
                <w:sz w:val="18"/>
                <w:szCs w:val="18"/>
              </w:rPr>
              <w:t>R</w:t>
            </w:r>
            <w:r w:rsidRPr="00CC5062">
              <w:rPr>
                <w:rFonts w:cs="Times New Roman"/>
                <w:i/>
                <w:iCs/>
                <w:sz w:val="18"/>
                <w:szCs w:val="18"/>
              </w:rPr>
              <w:t>T</w:t>
            </w:r>
            <w:r w:rsidRPr="00CC5062">
              <w:rPr>
                <w:rFonts w:cs="Times New Roman"/>
                <w:sz w:val="18"/>
                <w:szCs w:val="18"/>
              </w:rPr>
              <w:t xml:space="preserve">), </w:t>
            </w:r>
          </w:p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i/>
                <w:iCs/>
                <w:sz w:val="18"/>
                <w:szCs w:val="18"/>
              </w:rPr>
              <w:t>T</w:t>
            </w:r>
            <w:r w:rsidRPr="00CC5062">
              <w:rPr>
                <w:rFonts w:cs="Times New Roman"/>
                <w:sz w:val="18"/>
                <w:szCs w:val="18"/>
              </w:rPr>
              <w:t xml:space="preserve"> = 600 K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P</w:t>
            </w:r>
            <w:r w:rsidRPr="00CC5062">
              <w:rPr>
                <w:rFonts w:cs="Times New Roman"/>
                <w:sz w:val="18"/>
                <w:szCs w:val="18"/>
              </w:rPr>
              <w:t>resent</w:t>
            </w:r>
          </w:p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/>
                <w:sz w:val="18"/>
                <w:szCs w:val="18"/>
              </w:rPr>
              <w:t>solution(</w:t>
            </w:r>
            <w:r w:rsidRPr="00CC5062">
              <w:rPr>
                <w:rFonts w:cs="Times New Roman"/>
                <w:i/>
                <w:iCs/>
                <w:sz w:val="18"/>
                <w:szCs w:val="18"/>
              </w:rPr>
              <w:t>n</w:t>
            </w:r>
            <w:r w:rsidRPr="00CC5062">
              <w:rPr>
                <w:rFonts w:cs="Times New Roman"/>
                <w:sz w:val="18"/>
                <w:szCs w:val="18"/>
              </w:rPr>
              <w:t>=10)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40687C" w:rsidRPr="00CC5062" w:rsidRDefault="0040687C" w:rsidP="009D3A43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N</w:t>
            </w:r>
            <w:r w:rsidRPr="00CC5062">
              <w:rPr>
                <w:rFonts w:cs="Times New Roman"/>
                <w:sz w:val="18"/>
                <w:szCs w:val="18"/>
              </w:rPr>
              <w:t xml:space="preserve">umerical quadrature 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instrText>ADDIN CSL_CITATION {"citationItems":[{"id":"ITEM-1","itemData":{"author":[{"dropping-particle":"","family":"Rao","given":"V.K.","non-dropping-particle":"","parse-names":false,"suffix":""},{"dropping-particle":"","family":"Bardon","given":"M.F.","non-dropping-particle":"","parse-names":false,"suffix":""}],"container-title":"Journal of Thermal Analysis","id":"ITEM-1","issued":{"date-parts":[["1996"]]},"page":"323-326","title":"Integral of the boltzmann factor-A new approximation","type":"article-journal","volume":"46"},"uris":["http://www.mendeley.com/documents/?uuid=fa8d1045-8a9b-4496-a628-07e03d974b97"]}],"mendeley":{"formattedCitation":"[2]","plainTextFormattedCitation":"[2]","previouslyFormattedCitation":"&lt;sup&gt;2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[2]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end"/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A</w:t>
            </w:r>
            <w:r w:rsidRPr="00CC5062">
              <w:rPr>
                <w:rFonts w:cs="Times New Roman"/>
                <w:sz w:val="18"/>
                <w:szCs w:val="18"/>
              </w:rPr>
              <w:t>pproximation Methods</w:t>
            </w:r>
          </w:p>
        </w:tc>
      </w:tr>
      <w:tr w:rsidR="0040687C" w:rsidRPr="00CC5062" w:rsidTr="005C1820">
        <w:trPr>
          <w:trHeight w:val="221"/>
          <w:jc w:val="center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9D3A43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R</w:t>
            </w:r>
            <w:r w:rsidRPr="00CC5062">
              <w:rPr>
                <w:rFonts w:cs="Times New Roman"/>
                <w:sz w:val="18"/>
                <w:szCs w:val="18"/>
              </w:rPr>
              <w:t xml:space="preserve">ao 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instrText>ADDIN CSL_CITATION {"citationItems":[{"id":"ITEM-1","itemData":{"author":[{"dropping-particle":"","family":"Rao","given":"V.K.","non-dropping-particle":"","parse-names":false,"suffix":""},{"dropping-particle":"","family":"Bardon","given":"M.F.","non-dropping-particle":"","parse-names":false,"suffix":""}],"container-title":"Journal of Thermal Analysis","id":"ITEM-1","issued":{"date-parts":[["1996"]]},"page":"323-326","title":"Integral of the boltzmann factor-A new approximation","type":"article-journal","volume":"46"},"uris":["http://www.mendeley.com/documents/?uuid=fa8d1045-8a9b-4496-a628-07e03d974b97"]}],"mendeley":{"formattedCitation":"[2]","plainTextFormattedCitation":"[2]","previouslyFormattedCitation":"&lt;sup&gt;2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[2]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9D3A43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F</w:t>
            </w:r>
            <w:r w:rsidRPr="00CC5062">
              <w:rPr>
                <w:rFonts w:cs="Times New Roman"/>
                <w:sz w:val="18"/>
                <w:szCs w:val="18"/>
              </w:rPr>
              <w:t xml:space="preserve">rank-Kamenetskii 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</w:rPr>
              <w:instrText>ADDIN CSL_CITATION {"citationItems":[{"id":"ITEM-1","itemData":{"author":[{"dropping-particle":"","family":"D.A. Frankkamenetskii","given":"","non-dropping-particle":"","parse-names":false,"suffix":""}],"id":"ITEM-1","issued":{"date-parts":[["1955"]]},"publisher-place":"USA","title":"Diffusion and heat exchange in chemical kinetics","type":"book"},"uris":["http://www.mendeley.com/documents/?uuid=5c563105-ad9a-4de7-b50d-cf73d44a03d1"]}],"mendeley":{"formattedCitation":"[3]","plainTextFormattedCitation":"[3]","previouslyFormattedCitation":"&lt;sup&gt;3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[3]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9D3A43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C</w:t>
            </w:r>
            <w:r w:rsidRPr="00CC5062">
              <w:rPr>
                <w:rFonts w:cs="Times New Roman"/>
                <w:sz w:val="18"/>
                <w:szCs w:val="18"/>
              </w:rPr>
              <w:t xml:space="preserve">oats-Redfern 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</w:rPr>
              <w:instrText>ADDIN CSL_CITATION {"citationItems":[{"id":"ITEM-1","itemData":{"abstract":"The use of thermogravimeric data to evaluate kinetic parameters of solid-state reactions involving weight loss (or gain) has been investigated by a number of workers.","author":[{"dropping-particle":"","family":"Coats","given":"A.W.","non-dropping-particle":"","parse-names":false,"suffix":""},{"dropping-particle":"","family":"Redfern","given":"J.P.","non-dropping-particle":"","parse-names":false,"suffix":""}],"container-title":"Nature","id":"ITEM-1","issue":"4914","issued":{"date-parts":[["1964"]]},"page":"68-69","title":"Kinetic parameters from thermogravimetric data","type":"article-journal","volume":"201"},"uris":["http://www.mendeley.com/documents/?uuid=a67303fc-83c7-4c66-8762-394c9b7ee8a3"]}],"mendeley":{"formattedCitation":"[4]","plainTextFormattedCitation":"[4]","previouslyFormattedCitation":"&lt;sup&gt;4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[4]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single" w:sz="6" w:space="0" w:color="auto"/>
            </w:tcBorders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G</w:t>
            </w:r>
            <w:r w:rsidRPr="00CC5062">
              <w:rPr>
                <w:rFonts w:cs="Times New Roman"/>
                <w:sz w:val="18"/>
                <w:szCs w:val="18"/>
              </w:rPr>
              <w:t>orbachev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t xml:space="preserve"> 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instrText>ADDIN CSL_CITATION {"citationItems":[{"id":"ITEM-1","itemData":{"author":[{"dropping-particle":"","family":"V.M. Gorbachev","given":"","non-dropping-particle":"","parse-names":false,"suffix":""}],"container-title":"Therm. Anal","id":"ITEM-1","issued":{"date-parts":[["1975"]]},"page":"349-350","title":"A solution of the exponential integral in the non-isothermal kinetics for linear heating","type":"article-journal","volume":"8"},"uris":["http://www.mendeley.com/documents/?uuid=766fd37f-0a9d-43cb-9ea6-50af20f537f0"]}],"mendeley":{"formattedCitation":"[5]","plainTextFormattedCitation":"[5]","previouslyFormattedCitation":"&lt;sup&gt;5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[5]</w:t>
            </w:r>
            <w:r w:rsidRPr="00CC5062">
              <w:rPr>
                <w:rFonts w:cs="Times New Roman"/>
                <w:color w:val="0070C0"/>
                <w:sz w:val="18"/>
                <w:szCs w:val="18"/>
                <w:vertAlign w:val="superscript"/>
              </w:rPr>
              <w:fldChar w:fldCharType="end"/>
            </w:r>
            <w:r w:rsidRPr="00CC5062">
              <w:rPr>
                <w:rFonts w:cs="Times New Roman"/>
                <w:sz w:val="18"/>
                <w:szCs w:val="18"/>
              </w:rPr>
              <w:t>,</w:t>
            </w:r>
          </w:p>
          <w:p w:rsidR="0040687C" w:rsidRPr="00CC5062" w:rsidRDefault="0040687C" w:rsidP="009D3A43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D</w:t>
            </w:r>
            <w:r w:rsidRPr="00CC5062">
              <w:rPr>
                <w:rFonts w:cs="Times New Roman"/>
                <w:sz w:val="18"/>
                <w:szCs w:val="18"/>
              </w:rPr>
              <w:t xml:space="preserve">oyle 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begin" w:fldLock="1"/>
            </w:r>
            <w:r w:rsidR="0080330C">
              <w:rPr>
                <w:rFonts w:cs="Times New Roman"/>
                <w:color w:val="0070C0"/>
                <w:sz w:val="18"/>
                <w:szCs w:val="18"/>
              </w:rPr>
              <w:instrText>ADDIN CSL_CITATION {"citationItems":[{"id":"ITEM-1","itemData":{"author":[{"dropping-particle":"","family":"Doyle","given":"Charles D.","non-dropping-particle":"","parse-names":false,"suffix":""}],"container-title":"Nature","id":"ITEM-1","issue":"4994","issued":{"date-parts":[["1965"]]},"page":"290-291","title":"Series approximation to the equation of thermogravimetric data","type":"article-journal","volume":"207"},"uris":["http://www.mendeley.com/documents/?uuid=0c9bec36-1925-4da5-a04a-725cb9a49f23"]}],"mendeley":{"formattedCitation":"[6]","plainTextFormattedCitation":"[6]","previouslyFormattedCitation":"&lt;sup&gt;6&lt;/sup&gt;"},"properties":{"noteIndex":0},"schema":"https://github.com/citation-style-language/schema/raw/master/csl-citation.json"}</w:instrTex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separate"/>
            </w:r>
            <w:r w:rsidR="0080330C" w:rsidRPr="0080330C">
              <w:rPr>
                <w:rFonts w:cs="Times New Roman"/>
                <w:noProof/>
                <w:color w:val="0070C0"/>
                <w:sz w:val="18"/>
                <w:szCs w:val="18"/>
              </w:rPr>
              <w:t>[6]</w:t>
            </w:r>
            <w:r w:rsidRPr="00CC5062">
              <w:rPr>
                <w:rFonts w:cs="Times New Roman"/>
                <w:color w:val="0070C0"/>
                <w:sz w:val="18"/>
                <w:szCs w:val="18"/>
              </w:rPr>
              <w:fldChar w:fldCharType="end"/>
            </w:r>
          </w:p>
        </w:tc>
      </w:tr>
      <w:tr w:rsidR="0040687C" w:rsidRPr="00237D2E" w:rsidTr="005C1820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widowControl/>
              <w:spacing w:line="276" w:lineRule="auto"/>
              <w:jc w:val="center"/>
              <w:rPr>
                <w:rFonts w:eastAsia="等线"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7.8106E+01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8.9108E+01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9.1425E+01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2.2073E+02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 w:hint="eastAsia"/>
                <w:sz w:val="18"/>
                <w:szCs w:val="18"/>
              </w:rPr>
              <w:t>-</w:t>
            </w:r>
            <w:r w:rsidRPr="00237D2E">
              <w:rPr>
                <w:rFonts w:eastAsia="等线" w:cs="Times New Roman"/>
                <w:sz w:val="18"/>
                <w:szCs w:val="18"/>
              </w:rPr>
              <w:t>2.2073E+02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7.3569E+01</w:t>
            </w:r>
          </w:p>
        </w:tc>
      </w:tr>
      <w:tr w:rsidR="0040687C" w:rsidRPr="00237D2E" w:rsidTr="005C1820">
        <w:trPr>
          <w:jc w:val="center"/>
        </w:trPr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2.1597E+01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2.2517E+01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2.2801E+01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4.0601E+01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0.0000E+00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2.0300E+01</w:t>
            </w:r>
          </w:p>
        </w:tc>
      </w:tr>
      <w:tr w:rsidR="0040687C" w:rsidRPr="00237D2E" w:rsidTr="005C1820">
        <w:trPr>
          <w:jc w:val="center"/>
        </w:trPr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cs="Times New Roman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1.9093E+00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1.9187E+00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1.9275E+00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2.7473E+00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1.3737E+00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1.8319E+00</w:t>
            </w:r>
          </w:p>
        </w:tc>
      </w:tr>
      <w:tr w:rsidR="0040687C" w:rsidRPr="00237D2E" w:rsidTr="005C1820">
        <w:trPr>
          <w:jc w:val="center"/>
        </w:trPr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1.9083E-01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1.9096E-01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1.9141E-01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2.4792E-01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1.6523E-01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1.8591E-01</w:t>
            </w:r>
          </w:p>
        </w:tc>
      </w:tr>
      <w:tr w:rsidR="0040687C" w:rsidRPr="00237D2E" w:rsidTr="005C1820">
        <w:trPr>
          <w:jc w:val="center"/>
        </w:trPr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cs="Times New Roman" w:hint="eastAsia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2.0481E-02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2.0490E-02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2.0510E-02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2.5160E-02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1.8870E-02</w:t>
            </w:r>
          </w:p>
        </w:tc>
        <w:tc>
          <w:tcPr>
            <w:tcW w:w="0" w:type="auto"/>
            <w:vAlign w:val="center"/>
          </w:tcPr>
          <w:p w:rsidR="0040687C" w:rsidRPr="00237D2E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237D2E">
              <w:rPr>
                <w:rFonts w:eastAsia="等线" w:cs="Times New Roman"/>
                <w:sz w:val="18"/>
                <w:szCs w:val="18"/>
              </w:rPr>
              <w:t>2.0128E-02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1</w:t>
            </w:r>
            <w:r w:rsidRPr="00CC5062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2.2981E-03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2.2982E-03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2.2999E-03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2.7240E-03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2.1792E-03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2.2699E-03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1</w:t>
            </w:r>
            <w:r w:rsidRPr="00CC5062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2.6575E-04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2.6576E-04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2.6587E-04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3.0720E-04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2.5599E-04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2.6333E-04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1</w:t>
            </w:r>
            <w:r w:rsidRPr="00CC5062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3.1404E-05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3.1402E-05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3.1417E-05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3.5638E-05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3.0544E-05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3.1182E-05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1</w:t>
            </w:r>
            <w:r w:rsidRPr="00CC5062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3.7724E-06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3.7724E-06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3.7731E-06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4.2201E-06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3.6927E-06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3.7515E-06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1</w:t>
            </w:r>
            <w:r w:rsidRPr="00CC506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4.5901E-07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4.5900E-07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4.5909E-07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5.0771E-07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4.5123E-07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4.5690E-07</w:t>
            </w:r>
          </w:p>
        </w:tc>
      </w:tr>
      <w:tr w:rsidR="0040687C" w:rsidRPr="00CC5062" w:rsidTr="005C1820">
        <w:trPr>
          <w:jc w:val="center"/>
        </w:trPr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cs="Times New Roman" w:hint="eastAsia"/>
                <w:sz w:val="18"/>
                <w:szCs w:val="18"/>
              </w:rPr>
              <w:t>2</w:t>
            </w:r>
            <w:r w:rsidRPr="00CC5062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5.6429E-08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5.6430E-08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5.6443E-08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6.1835E-08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5.5651E-08</w:t>
            </w:r>
          </w:p>
        </w:tc>
        <w:tc>
          <w:tcPr>
            <w:tcW w:w="0" w:type="auto"/>
            <w:vAlign w:val="center"/>
          </w:tcPr>
          <w:p w:rsidR="0040687C" w:rsidRPr="00CC5062" w:rsidRDefault="0040687C" w:rsidP="005C1820">
            <w:pPr>
              <w:spacing w:line="276" w:lineRule="auto"/>
              <w:jc w:val="center"/>
              <w:rPr>
                <w:rFonts w:cs="Times New Roman"/>
                <w:sz w:val="18"/>
                <w:szCs w:val="18"/>
              </w:rPr>
            </w:pPr>
            <w:r w:rsidRPr="00CC5062">
              <w:rPr>
                <w:rFonts w:eastAsia="等线" w:cs="Times New Roman"/>
                <w:color w:val="000000"/>
                <w:sz w:val="18"/>
                <w:szCs w:val="18"/>
              </w:rPr>
              <w:t>5.6208E-08</w:t>
            </w:r>
          </w:p>
        </w:tc>
      </w:tr>
    </w:tbl>
    <w:p w:rsidR="00FA0DD2" w:rsidRDefault="00FA0DD2" w:rsidP="007852E2">
      <w:pPr>
        <w:spacing w:line="480" w:lineRule="auto"/>
      </w:pPr>
    </w:p>
    <w:p w:rsidR="007852E2" w:rsidRPr="007852E2" w:rsidRDefault="007852E2" w:rsidP="007852E2">
      <w:pPr>
        <w:spacing w:line="480" w:lineRule="auto"/>
        <w:rPr>
          <w:b/>
          <w:sz w:val="24"/>
          <w:szCs w:val="24"/>
        </w:rPr>
      </w:pPr>
      <w:r w:rsidRPr="007852E2">
        <w:rPr>
          <w:b/>
          <w:sz w:val="24"/>
          <w:szCs w:val="24"/>
        </w:rPr>
        <w:t>References</w:t>
      </w:r>
    </w:p>
    <w:p w:rsidR="0080330C" w:rsidRPr="0080330C" w:rsidRDefault="009D3A43" w:rsidP="0080330C">
      <w:pPr>
        <w:autoSpaceDE w:val="0"/>
        <w:autoSpaceDN w:val="0"/>
        <w:adjustRightInd w:val="0"/>
        <w:jc w:val="left"/>
        <w:rPr>
          <w:rFonts w:cs="Times New Roman"/>
          <w:noProof/>
          <w:kern w:val="0"/>
          <w:sz w:val="20"/>
          <w:szCs w:val="24"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="0080330C" w:rsidRPr="0080330C">
        <w:rPr>
          <w:rFonts w:cs="Times New Roman"/>
          <w:noProof/>
          <w:kern w:val="0"/>
          <w:sz w:val="20"/>
          <w:szCs w:val="24"/>
        </w:rPr>
        <w:t xml:space="preserve">1. J.H. Flynn. The “temperature integral” - Its use and abuse. Thermochim Acta. 1997;300. </w:t>
      </w:r>
    </w:p>
    <w:p w:rsidR="0080330C" w:rsidRPr="0080330C" w:rsidRDefault="0080330C" w:rsidP="0080330C">
      <w:pPr>
        <w:autoSpaceDE w:val="0"/>
        <w:autoSpaceDN w:val="0"/>
        <w:adjustRightInd w:val="0"/>
        <w:jc w:val="left"/>
        <w:rPr>
          <w:rFonts w:cs="Times New Roman"/>
          <w:noProof/>
          <w:kern w:val="0"/>
          <w:sz w:val="20"/>
          <w:szCs w:val="24"/>
        </w:rPr>
      </w:pPr>
      <w:r w:rsidRPr="0080330C">
        <w:rPr>
          <w:rFonts w:cs="Times New Roman"/>
          <w:noProof/>
          <w:kern w:val="0"/>
          <w:sz w:val="20"/>
          <w:szCs w:val="24"/>
        </w:rPr>
        <w:t xml:space="preserve">2. Rao VK, Bardon MF. Integral of the boltzmann factor-A new approximation. J Therm Anal. 1996;46:323–6. </w:t>
      </w:r>
    </w:p>
    <w:p w:rsidR="0080330C" w:rsidRPr="0080330C" w:rsidRDefault="0080330C" w:rsidP="0080330C">
      <w:pPr>
        <w:autoSpaceDE w:val="0"/>
        <w:autoSpaceDN w:val="0"/>
        <w:adjustRightInd w:val="0"/>
        <w:jc w:val="left"/>
        <w:rPr>
          <w:rFonts w:cs="Times New Roman"/>
          <w:noProof/>
          <w:kern w:val="0"/>
          <w:sz w:val="20"/>
          <w:szCs w:val="24"/>
        </w:rPr>
      </w:pPr>
      <w:r w:rsidRPr="0080330C">
        <w:rPr>
          <w:rFonts w:cs="Times New Roman"/>
          <w:noProof/>
          <w:kern w:val="0"/>
          <w:sz w:val="20"/>
          <w:szCs w:val="24"/>
        </w:rPr>
        <w:t xml:space="preserve">3. D.A. Frankkamenetskii. Diffusion and heat exchange in chemical kinetics. USA; 1955. </w:t>
      </w:r>
    </w:p>
    <w:p w:rsidR="0080330C" w:rsidRPr="0080330C" w:rsidRDefault="0080330C" w:rsidP="0080330C">
      <w:pPr>
        <w:autoSpaceDE w:val="0"/>
        <w:autoSpaceDN w:val="0"/>
        <w:adjustRightInd w:val="0"/>
        <w:jc w:val="left"/>
        <w:rPr>
          <w:rFonts w:cs="Times New Roman"/>
          <w:noProof/>
          <w:kern w:val="0"/>
          <w:sz w:val="20"/>
          <w:szCs w:val="24"/>
        </w:rPr>
      </w:pPr>
      <w:r w:rsidRPr="0080330C">
        <w:rPr>
          <w:rFonts w:cs="Times New Roman"/>
          <w:noProof/>
          <w:kern w:val="0"/>
          <w:sz w:val="20"/>
          <w:szCs w:val="24"/>
        </w:rPr>
        <w:t xml:space="preserve">4. Coats AW, Redfern JP. Kinetic parameters from thermogravimetric data. Nature. 1964;201:68–9. </w:t>
      </w:r>
    </w:p>
    <w:p w:rsidR="0080330C" w:rsidRPr="0080330C" w:rsidRDefault="0080330C" w:rsidP="0080330C">
      <w:pPr>
        <w:autoSpaceDE w:val="0"/>
        <w:autoSpaceDN w:val="0"/>
        <w:adjustRightInd w:val="0"/>
        <w:jc w:val="left"/>
        <w:rPr>
          <w:rFonts w:cs="Times New Roman"/>
          <w:noProof/>
          <w:kern w:val="0"/>
          <w:sz w:val="20"/>
          <w:szCs w:val="24"/>
        </w:rPr>
      </w:pPr>
      <w:r w:rsidRPr="0080330C">
        <w:rPr>
          <w:rFonts w:cs="Times New Roman"/>
          <w:noProof/>
          <w:kern w:val="0"/>
          <w:sz w:val="20"/>
          <w:szCs w:val="24"/>
        </w:rPr>
        <w:t xml:space="preserve">5. V.M. Gorbachev. A solution of the exponential integral in the non-isothermal kinetics for linear heating. Therm Anal. 1975;8:349–50. </w:t>
      </w:r>
    </w:p>
    <w:p w:rsidR="0080330C" w:rsidRPr="0080330C" w:rsidRDefault="0080330C" w:rsidP="0080330C">
      <w:pPr>
        <w:autoSpaceDE w:val="0"/>
        <w:autoSpaceDN w:val="0"/>
        <w:adjustRightInd w:val="0"/>
        <w:jc w:val="left"/>
        <w:rPr>
          <w:rFonts w:cs="Times New Roman"/>
          <w:noProof/>
          <w:sz w:val="20"/>
        </w:rPr>
      </w:pPr>
      <w:r w:rsidRPr="0080330C">
        <w:rPr>
          <w:rFonts w:cs="Times New Roman"/>
          <w:noProof/>
          <w:kern w:val="0"/>
          <w:sz w:val="20"/>
          <w:szCs w:val="24"/>
        </w:rPr>
        <w:t xml:space="preserve">6. Doyle CD. Series approximation to the equation of thermogravimetric data. Nature. 1965;207:290–1. </w:t>
      </w:r>
    </w:p>
    <w:p w:rsidR="007852E2" w:rsidRDefault="009D3A43" w:rsidP="007852E2">
      <w:r>
        <w:fldChar w:fldCharType="end"/>
      </w:r>
      <w:bookmarkStart w:id="1" w:name="_GoBack"/>
      <w:bookmarkEnd w:id="1"/>
    </w:p>
    <w:sectPr w:rsidR="007852E2" w:rsidSect="00712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331" w:rsidRDefault="00947331" w:rsidP="007852E2">
      <w:r>
        <w:separator/>
      </w:r>
    </w:p>
  </w:endnote>
  <w:endnote w:type="continuationSeparator" w:id="0">
    <w:p w:rsidR="00947331" w:rsidRDefault="00947331" w:rsidP="0078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331" w:rsidRDefault="00947331" w:rsidP="007852E2">
      <w:r>
        <w:separator/>
      </w:r>
    </w:p>
  </w:footnote>
  <w:footnote w:type="continuationSeparator" w:id="0">
    <w:p w:rsidR="00947331" w:rsidRDefault="00947331" w:rsidP="00785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7E2E81"/>
    <w:multiLevelType w:val="hybridMultilevel"/>
    <w:tmpl w:val="957C62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BA53AF7"/>
    <w:multiLevelType w:val="hybridMultilevel"/>
    <w:tmpl w:val="AB30F1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87C"/>
    <w:rsid w:val="000A6BB0"/>
    <w:rsid w:val="000D5541"/>
    <w:rsid w:val="002B4308"/>
    <w:rsid w:val="003A36B8"/>
    <w:rsid w:val="0040687C"/>
    <w:rsid w:val="005C1820"/>
    <w:rsid w:val="00661B2B"/>
    <w:rsid w:val="0068594D"/>
    <w:rsid w:val="006A57AB"/>
    <w:rsid w:val="007127A1"/>
    <w:rsid w:val="0071528F"/>
    <w:rsid w:val="007852E2"/>
    <w:rsid w:val="0080330C"/>
    <w:rsid w:val="008206B3"/>
    <w:rsid w:val="009340CE"/>
    <w:rsid w:val="00947331"/>
    <w:rsid w:val="009D3A43"/>
    <w:rsid w:val="00A94092"/>
    <w:rsid w:val="00EF7DF9"/>
    <w:rsid w:val="00F4009C"/>
    <w:rsid w:val="00F714A8"/>
    <w:rsid w:val="00FA0DD2"/>
    <w:rsid w:val="00FC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12E8B1-3D46-4F70-A118-69D3DF65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87C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rsid w:val="0040687C"/>
    <w:pPr>
      <w:ind w:firstLineChars="200" w:firstLine="490"/>
      <w:jc w:val="right"/>
    </w:pPr>
    <w:rPr>
      <w:rFonts w:eastAsiaTheme="minorEastAsia" w:cstheme="majorBidi"/>
      <w:sz w:val="24"/>
      <w:szCs w:val="20"/>
    </w:rPr>
  </w:style>
  <w:style w:type="table" w:styleId="a4">
    <w:name w:val="Table Grid"/>
    <w:basedOn w:val="a1"/>
    <w:uiPriority w:val="39"/>
    <w:rsid w:val="004068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52E2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5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52E2"/>
    <w:rPr>
      <w:rFonts w:ascii="Times New Roman" w:eastAsia="宋体" w:hAnsi="Times New Roman"/>
      <w:sz w:val="18"/>
      <w:szCs w:val="18"/>
    </w:rPr>
  </w:style>
  <w:style w:type="paragraph" w:styleId="a9">
    <w:name w:val="List Paragraph"/>
    <w:basedOn w:val="a"/>
    <w:uiPriority w:val="34"/>
    <w:qFormat/>
    <w:rsid w:val="007852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9F726-776C-453C-AF16-A33C8A61D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8</Pages>
  <Words>2433</Words>
  <Characters>13873</Characters>
  <Application>Microsoft Office Word</Application>
  <DocSecurity>0</DocSecurity>
  <Lines>115</Lines>
  <Paragraphs>32</Paragraphs>
  <ScaleCrop>false</ScaleCrop>
  <Company>WUST</Company>
  <LinksUpToDate>false</LinksUpToDate>
  <CharactersWithSpaces>16274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Zhang</dc:creator>
  <cp:keywords/>
  <dc:description/>
  <cp:lastModifiedBy>李逵</cp:lastModifiedBy>
  <cp:revision>12</cp:revision>
  <dcterms:created xsi:type="dcterms:W3CDTF">2021-10-06T14:26:00Z</dcterms:created>
  <dcterms:modified xsi:type="dcterms:W3CDTF">2021-10-19T07:48:00Z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http://www.zotero.org/styles/journal-of-mathematical-chemistry</vt:lpwstr>
  </property>
  <property fmtid="{D5CDD505-2E9C-101B-9397-08002B2CF9AE}" pid="15" name="Mendeley Recent Style Name 6_1">
    <vt:lpwstr>Journal of Mathematical Chemistry</vt:lpwstr>
  </property>
  <property fmtid="{D5CDD505-2E9C-101B-9397-08002B2CF9AE}" pid="16" name="Mendeley Recent Style Id 7_1">
    <vt:lpwstr>http://www.zotero.org/styles/journal-of-thermal-analysis-and-calorimetry</vt:lpwstr>
  </property>
  <property fmtid="{D5CDD505-2E9C-101B-9397-08002B2CF9AE}" pid="17" name="Mendeley Recent Style Name 7_1">
    <vt:lpwstr>Journal of Thermal Analysis and Calorimetry</vt:lpwstr>
  </property>
  <property fmtid="{D5CDD505-2E9C-101B-9397-08002B2CF9AE}" pid="18" name="Mendeley Recent Style Id 8_1">
    <vt:lpwstr>http://www.zotero.org/styles/reaction-chemistry-and-engineering</vt:lpwstr>
  </property>
  <property fmtid="{D5CDD505-2E9C-101B-9397-08002B2CF9AE}" pid="19" name="Mendeley Recent Style Name 8_1">
    <vt:lpwstr>Reaction Chemistry &amp; Engineering</vt:lpwstr>
  </property>
  <property fmtid="{D5CDD505-2E9C-101B-9397-08002B2CF9AE}" pid="20" name="Mendeley Recent Style Id 9_1">
    <vt:lpwstr>http://www.zotero.org/styles/thermochimica-acta</vt:lpwstr>
  </property>
  <property fmtid="{D5CDD505-2E9C-101B-9397-08002B2CF9AE}" pid="21" name="Mendeley Recent Style Name 9_1">
    <vt:lpwstr>Thermochimica Acta</vt:lpwstr>
  </property>
  <property fmtid="{D5CDD505-2E9C-101B-9397-08002B2CF9AE}" pid="22" name="Mendeley Citation Style_1">
    <vt:lpwstr>http://www.zotero.org/styles/journal-of-thermal-analysis-and-calorimetry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b92304e5-2c8c-3fb5-ab8d-482faa7c5d23</vt:lpwstr>
  </property>
</Properties>
</file>