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2F070">
      <w:pPr>
        <w:spacing w:line="360" w:lineRule="auto"/>
        <w:jc w:val="cente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The Advanced Practice Nurse General Competency Scale</w:t>
      </w:r>
    </w:p>
    <w:p w14:paraId="0510DAE6">
      <w:pPr>
        <w:spacing w:line="360" w:lineRule="auto"/>
        <w:rPr>
          <w:rFonts w:hint="default" w:ascii="Times New Roman" w:hAnsi="Times New Roman" w:eastAsia="宋体" w:cs="Times New Roman"/>
          <w:b w:val="0"/>
          <w:bCs w:val="0"/>
          <w:color w:val="000000"/>
          <w:kern w:val="0"/>
          <w:sz w:val="24"/>
          <w:szCs w:val="24"/>
          <w:lang w:val="en-US" w:eastAsia="zh-CN" w:bidi="ar"/>
        </w:rPr>
      </w:pPr>
    </w:p>
    <w:p w14:paraId="7DED13F6">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Cs/>
          <w:color w:val="0000FF"/>
          <w:kern w:val="0"/>
          <w:sz w:val="24"/>
          <w:szCs w:val="24"/>
          <w:lang w:val="en-US" w:eastAsia="zh-CN"/>
        </w:rPr>
      </w:pPr>
      <w:r>
        <w:rPr>
          <w:rFonts w:hint="eastAsia" w:ascii="Times New Roman" w:hAnsi="Times New Roman" w:eastAsia="宋体" w:cs="Times New Roman"/>
          <w:b w:val="0"/>
          <w:bCs w:val="0"/>
          <w:color w:val="000000"/>
          <w:kern w:val="0"/>
          <w:sz w:val="24"/>
          <w:szCs w:val="24"/>
          <w:lang w:val="en-US" w:eastAsia="zh-CN" w:bidi="ar"/>
        </w:rPr>
        <w:t xml:space="preserve">This scale </w:t>
      </w:r>
      <w:r>
        <w:rPr>
          <w:rFonts w:hint="default" w:ascii="Times New Roman" w:hAnsi="Times New Roman" w:eastAsia="宋体" w:cs="Times New Roman"/>
          <w:b w:val="0"/>
          <w:bCs w:val="0"/>
          <w:color w:val="000000"/>
          <w:kern w:val="0"/>
          <w:sz w:val="24"/>
          <w:szCs w:val="24"/>
          <w:lang w:val="en-US" w:eastAsia="zh-CN" w:bidi="ar"/>
        </w:rPr>
        <w:t>was employed to assess participants' competencies across seven domains adapted from the HKCMN's APN General Competency Framework</w:t>
      </w:r>
      <w:r>
        <w:rPr>
          <w:rFonts w:hint="eastAsia" w:ascii="Times New Roman" w:hAnsi="Times New Roman" w:eastAsia="宋体" w:cs="Times New Roman"/>
          <w:b w:val="0"/>
          <w:bCs w:val="0"/>
          <w:color w:val="000000"/>
          <w:kern w:val="0"/>
          <w:sz w:val="24"/>
          <w:szCs w:val="24"/>
          <w:lang w:val="en-US" w:eastAsia="zh-CN" w:bidi="ar"/>
        </w:rPr>
        <w:t>.</w:t>
      </w:r>
      <w:r>
        <w:rPr>
          <w:rFonts w:hint="default" w:ascii="Times New Roman" w:hAnsi="Times New Roman" w:eastAsia="宋体" w:cs="Times New Roman"/>
          <w:b w:val="0"/>
          <w:bCs w:val="0"/>
          <w:color w:val="000000"/>
          <w:kern w:val="0"/>
          <w:sz w:val="24"/>
          <w:szCs w:val="24"/>
          <w:lang w:val="en-US" w:eastAsia="zh-CN" w:bidi="ar"/>
        </w:rPr>
        <w:t xml:space="preserve"> Participants rated each domain on a 7-point numeric rating scale (0 = strongly disagree to 7 = strongly agree). The scale demonstrated excellent internal consistency in this study, with a Cronbach's α coefficient of 0.963. </w:t>
      </w:r>
      <w:bookmarkStart w:id="0" w:name="_GoBack"/>
      <w:bookmarkEnd w:id="0"/>
    </w:p>
    <w:p w14:paraId="2648AD4C">
      <w:pPr>
        <w:rPr>
          <w:rFonts w:hint="default" w:ascii="Times New Roman" w:hAnsi="Times New Roman" w:eastAsia="宋体" w:cs="Times New Roman"/>
          <w:b w:val="0"/>
          <w:bCs w:val="0"/>
          <w:color w:val="000000"/>
          <w:kern w:val="0"/>
          <w:sz w:val="24"/>
          <w:szCs w:val="24"/>
          <w:lang w:val="en-US" w:eastAsia="zh-CN" w:bidi="ar"/>
        </w:rPr>
      </w:pPr>
    </w:p>
    <w:tbl>
      <w:tblPr>
        <w:tblStyle w:val="4"/>
        <w:tblW w:w="10400" w:type="dxa"/>
        <w:tblInd w:w="-10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6140"/>
        <w:gridCol w:w="608"/>
        <w:gridCol w:w="608"/>
        <w:gridCol w:w="608"/>
        <w:gridCol w:w="608"/>
        <w:gridCol w:w="608"/>
        <w:gridCol w:w="608"/>
        <w:gridCol w:w="612"/>
      </w:tblGrid>
      <w:tr w14:paraId="198F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140" w:type="dxa"/>
          </w:tcPr>
          <w:p w14:paraId="019A2319">
            <w:pPr>
              <w:keepNext w:val="0"/>
              <w:keepLines w:val="0"/>
              <w:widowControl/>
              <w:suppressLineNumbers w:val="0"/>
              <w:spacing w:before="0" w:beforeAutospacing="0" w:after="0" w:afterAutospacing="0" w:line="360" w:lineRule="auto"/>
              <w:ind w:left="120" w:leftChars="0" w:right="0"/>
              <w:jc w:val="left"/>
              <w:rPr>
                <w:rFonts w:hint="default" w:ascii="Times New Roman" w:hAnsi="Times New Roman" w:eastAsia="宋体" w:cs="Times New Roman"/>
                <w:b w:val="0"/>
                <w:bCs w:val="0"/>
                <w:color w:val="0000FF"/>
                <w:kern w:val="0"/>
                <w:sz w:val="21"/>
                <w:szCs w:val="21"/>
                <w:lang w:val="en-US" w:eastAsia="zh-CN" w:bidi="ar"/>
              </w:rPr>
            </w:pPr>
            <w:r>
              <w:rPr>
                <w:rFonts w:hint="default" w:ascii="Times New Roman" w:hAnsi="Times New Roman" w:eastAsia="宋体" w:cs="Times New Roman"/>
                <w:b w:val="0"/>
                <w:bCs w:val="0"/>
                <w:color w:val="000000"/>
                <w:kern w:val="0"/>
                <w:sz w:val="24"/>
                <w:szCs w:val="24"/>
                <w:lang w:val="en-US" w:eastAsia="zh-CN" w:bidi="ar"/>
              </w:rPr>
              <w:t>The Advanced Practice Nurse General Competency</w:t>
            </w:r>
          </w:p>
        </w:tc>
        <w:tc>
          <w:tcPr>
            <w:tcW w:w="4260" w:type="dxa"/>
            <w:gridSpan w:val="7"/>
          </w:tcPr>
          <w:p w14:paraId="45697356">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r>
              <w:rPr>
                <w:rFonts w:hint="eastAsia" w:ascii="Times New Roman" w:hAnsi="Times New Roman" w:eastAsia="宋体" w:cs="Times New Roman"/>
                <w:b w:val="0"/>
                <w:bCs w:val="0"/>
                <w:color w:val="000000"/>
                <w:kern w:val="0"/>
                <w:sz w:val="24"/>
                <w:szCs w:val="24"/>
                <w:lang w:val="en-US" w:eastAsia="zh-CN" w:bidi="ar"/>
              </w:rPr>
              <w:t>1</w:t>
            </w:r>
            <w:r>
              <w:rPr>
                <w:rFonts w:hint="default" w:ascii="Times New Roman" w:hAnsi="Times New Roman" w:eastAsia="宋体" w:cs="Times New Roman"/>
                <w:b w:val="0"/>
                <w:bCs w:val="0"/>
                <w:color w:val="000000"/>
                <w:kern w:val="0"/>
                <w:sz w:val="24"/>
                <w:szCs w:val="24"/>
                <w:lang w:val="en-US" w:eastAsia="zh-CN" w:bidi="ar"/>
              </w:rPr>
              <w:t xml:space="preserve"> strongly disagree</w:t>
            </w:r>
            <w:r>
              <w:rPr>
                <w:rFonts w:hint="eastAsia" w:ascii="Times New Roman" w:hAnsi="Times New Roman" w:eastAsia="宋体" w:cs="Times New Roman"/>
                <w:b w:val="0"/>
                <w:bCs w:val="0"/>
                <w:color w:val="000000"/>
                <w:kern w:val="0"/>
                <w:sz w:val="24"/>
                <w:szCs w:val="24"/>
                <w:lang w:val="en-US" w:eastAsia="zh-CN" w:bidi="ar"/>
              </w:rPr>
              <w:t xml:space="preserve"> ←→</w:t>
            </w:r>
            <w:r>
              <w:rPr>
                <w:rFonts w:hint="default" w:ascii="Times New Roman" w:hAnsi="Times New Roman" w:eastAsia="宋体" w:cs="Times New Roman"/>
                <w:b w:val="0"/>
                <w:bCs w:val="0"/>
                <w:color w:val="000000"/>
                <w:kern w:val="0"/>
                <w:sz w:val="24"/>
                <w:szCs w:val="24"/>
                <w:lang w:val="en-US" w:eastAsia="zh-CN" w:bidi="ar"/>
              </w:rPr>
              <w:t>7 strongly agree</w:t>
            </w:r>
          </w:p>
        </w:tc>
      </w:tr>
      <w:tr w14:paraId="3F8C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140" w:type="dxa"/>
          </w:tcPr>
          <w:p w14:paraId="75CFB880">
            <w:pPr>
              <w:keepNext w:val="0"/>
              <w:keepLines w:val="0"/>
              <w:widowControl/>
              <w:numPr>
                <w:ilvl w:val="0"/>
                <w:numId w:val="0"/>
              </w:numPr>
              <w:suppressLineNumbers w:val="0"/>
              <w:spacing w:before="0" w:beforeAutospacing="0" w:after="0" w:afterAutospacing="0" w:line="360" w:lineRule="auto"/>
              <w:ind w:left="120" w:leftChars="0" w:right="0" w:rightChars="0" w:firstLine="0" w:firstLineChars="0"/>
              <w:jc w:val="left"/>
              <w:rPr>
                <w:rFonts w:hint="default" w:ascii="Times New Roman" w:hAnsi="Times New Roman" w:eastAsia="宋体" w:cs="Times New Roman"/>
                <w:b w:val="0"/>
                <w:bCs w:val="0"/>
                <w:color w:val="000000"/>
                <w:kern w:val="0"/>
                <w:sz w:val="24"/>
                <w:szCs w:val="24"/>
              </w:rPr>
            </w:pPr>
            <w:r>
              <w:rPr>
                <w:rFonts w:hint="default" w:ascii="Times New Roman" w:hAnsi="Times New Roman" w:eastAsia="宋体" w:cs="Times New Roman"/>
                <w:b w:val="0"/>
                <w:bCs w:val="0"/>
                <w:color w:val="000000"/>
                <w:kern w:val="0"/>
                <w:sz w:val="24"/>
                <w:szCs w:val="24"/>
                <w:lang w:val="en-US" w:eastAsia="zh-CN" w:bidi="ar"/>
              </w:rPr>
              <w:t>managing complex patient health conditions;</w:t>
            </w:r>
          </w:p>
          <w:p w14:paraId="54FD563D">
            <w:pPr>
              <w:keepNext w:val="0"/>
              <w:keepLines w:val="0"/>
              <w:widowControl/>
              <w:suppressLineNumbers w:val="0"/>
              <w:spacing w:before="0" w:beforeAutospacing="0" w:after="0" w:afterAutospacing="0" w:line="240" w:lineRule="auto"/>
              <w:ind w:left="120" w:leftChars="0" w:right="0"/>
              <w:jc w:val="left"/>
              <w:rPr>
                <w:rFonts w:hint="default" w:ascii="Times New Roman" w:hAnsi="Times New Roman" w:eastAsia="宋体" w:cs="Times New Roman"/>
                <w:b w:val="0"/>
                <w:bCs w:val="0"/>
                <w:color w:val="000000"/>
                <w:kern w:val="0"/>
                <w:sz w:val="24"/>
                <w:szCs w:val="24"/>
                <w:vertAlign w:val="baseline"/>
                <w:lang w:val="en-US" w:eastAsia="zh-CN" w:bidi="ar"/>
              </w:rPr>
            </w:pPr>
            <w:r>
              <w:rPr>
                <w:rFonts w:hint="default" w:ascii="Times New Roman" w:hAnsi="Times New Roman" w:eastAsia="宋体" w:cs="Times New Roman"/>
                <w:b w:val="0"/>
                <w:bCs w:val="0"/>
                <w:color w:val="0000FF"/>
                <w:kern w:val="0"/>
                <w:sz w:val="21"/>
                <w:szCs w:val="21"/>
                <w:lang w:val="en-US" w:eastAsia="zh-CN" w:bidi="ar"/>
              </w:rPr>
              <w:t>Possess the nursing skills to handle complex cases, meet diverse health needs, facilitate multidisciplinary collaboration to implement treatment strategies, manage medication regimens, and monitor patient databases to optimize care.</w:t>
            </w:r>
          </w:p>
        </w:tc>
        <w:tc>
          <w:tcPr>
            <w:tcW w:w="608" w:type="dxa"/>
          </w:tcPr>
          <w:p w14:paraId="1B1AF8D7">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r>
              <w:rPr>
                <w:rFonts w:hint="eastAsia" w:ascii="Times New Roman" w:hAnsi="Times New Roman" w:eastAsia="宋体" w:cs="Times New Roman"/>
                <w:b w:val="0"/>
                <w:bCs w:val="0"/>
                <w:color w:val="000000"/>
                <w:kern w:val="0"/>
                <w:sz w:val="24"/>
                <w:szCs w:val="24"/>
                <w:vertAlign w:val="baseline"/>
                <w:lang w:val="en-US" w:eastAsia="zh-CN" w:bidi="ar"/>
              </w:rPr>
              <w:t>1</w:t>
            </w:r>
          </w:p>
        </w:tc>
        <w:tc>
          <w:tcPr>
            <w:tcW w:w="608" w:type="dxa"/>
          </w:tcPr>
          <w:p w14:paraId="43E59ED6">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r>
              <w:rPr>
                <w:rFonts w:hint="eastAsia" w:ascii="Times New Roman" w:hAnsi="Times New Roman" w:eastAsia="宋体" w:cs="Times New Roman"/>
                <w:b w:val="0"/>
                <w:bCs w:val="0"/>
                <w:color w:val="000000"/>
                <w:kern w:val="0"/>
                <w:sz w:val="24"/>
                <w:szCs w:val="24"/>
                <w:vertAlign w:val="baseline"/>
                <w:lang w:val="en-US" w:eastAsia="zh-CN" w:bidi="ar"/>
              </w:rPr>
              <w:t>2</w:t>
            </w:r>
          </w:p>
        </w:tc>
        <w:tc>
          <w:tcPr>
            <w:tcW w:w="608" w:type="dxa"/>
          </w:tcPr>
          <w:p w14:paraId="58AC7DD1">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r>
              <w:rPr>
                <w:rFonts w:hint="eastAsia" w:ascii="Times New Roman" w:hAnsi="Times New Roman" w:eastAsia="宋体" w:cs="Times New Roman"/>
                <w:b w:val="0"/>
                <w:bCs w:val="0"/>
                <w:color w:val="000000"/>
                <w:kern w:val="0"/>
                <w:sz w:val="24"/>
                <w:szCs w:val="24"/>
                <w:vertAlign w:val="baseline"/>
                <w:lang w:val="en-US" w:eastAsia="zh-CN" w:bidi="ar"/>
              </w:rPr>
              <w:t>3</w:t>
            </w:r>
          </w:p>
        </w:tc>
        <w:tc>
          <w:tcPr>
            <w:tcW w:w="608" w:type="dxa"/>
          </w:tcPr>
          <w:p w14:paraId="577EB1E9">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r>
              <w:rPr>
                <w:rFonts w:hint="eastAsia" w:ascii="Times New Roman" w:hAnsi="Times New Roman" w:eastAsia="宋体" w:cs="Times New Roman"/>
                <w:b w:val="0"/>
                <w:bCs w:val="0"/>
                <w:color w:val="000000"/>
                <w:kern w:val="0"/>
                <w:sz w:val="24"/>
                <w:szCs w:val="24"/>
                <w:vertAlign w:val="baseline"/>
                <w:lang w:val="en-US" w:eastAsia="zh-CN" w:bidi="ar"/>
              </w:rPr>
              <w:t>4</w:t>
            </w:r>
          </w:p>
        </w:tc>
        <w:tc>
          <w:tcPr>
            <w:tcW w:w="608" w:type="dxa"/>
          </w:tcPr>
          <w:p w14:paraId="4DE430BA">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r>
              <w:rPr>
                <w:rFonts w:hint="eastAsia" w:ascii="Times New Roman" w:hAnsi="Times New Roman" w:eastAsia="宋体" w:cs="Times New Roman"/>
                <w:b w:val="0"/>
                <w:bCs w:val="0"/>
                <w:color w:val="000000"/>
                <w:kern w:val="0"/>
                <w:sz w:val="24"/>
                <w:szCs w:val="24"/>
                <w:vertAlign w:val="baseline"/>
                <w:lang w:val="en-US" w:eastAsia="zh-CN" w:bidi="ar"/>
              </w:rPr>
              <w:t>5</w:t>
            </w:r>
          </w:p>
        </w:tc>
        <w:tc>
          <w:tcPr>
            <w:tcW w:w="608" w:type="dxa"/>
          </w:tcPr>
          <w:p w14:paraId="79DB2EA8">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r>
              <w:rPr>
                <w:rFonts w:hint="eastAsia" w:ascii="Times New Roman" w:hAnsi="Times New Roman" w:eastAsia="宋体" w:cs="Times New Roman"/>
                <w:b w:val="0"/>
                <w:bCs w:val="0"/>
                <w:color w:val="000000"/>
                <w:kern w:val="0"/>
                <w:sz w:val="24"/>
                <w:szCs w:val="24"/>
                <w:vertAlign w:val="baseline"/>
                <w:lang w:val="en-US" w:eastAsia="zh-CN" w:bidi="ar"/>
              </w:rPr>
              <w:t>6</w:t>
            </w:r>
          </w:p>
        </w:tc>
        <w:tc>
          <w:tcPr>
            <w:tcW w:w="612" w:type="dxa"/>
          </w:tcPr>
          <w:p w14:paraId="4E338144">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r>
              <w:rPr>
                <w:rFonts w:hint="eastAsia" w:ascii="Times New Roman" w:hAnsi="Times New Roman" w:eastAsia="宋体" w:cs="Times New Roman"/>
                <w:b w:val="0"/>
                <w:bCs w:val="0"/>
                <w:color w:val="000000"/>
                <w:kern w:val="0"/>
                <w:sz w:val="24"/>
                <w:szCs w:val="24"/>
                <w:vertAlign w:val="baseline"/>
                <w:lang w:val="en-US" w:eastAsia="zh-CN" w:bidi="ar"/>
              </w:rPr>
              <w:t>7</w:t>
            </w:r>
          </w:p>
        </w:tc>
      </w:tr>
      <w:tr w14:paraId="59B4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140" w:type="dxa"/>
          </w:tcPr>
          <w:p w14:paraId="7819FEB6">
            <w:pPr>
              <w:numPr>
                <w:ilvl w:val="0"/>
                <w:numId w:val="0"/>
              </w:numPr>
              <w:spacing w:line="360" w:lineRule="auto"/>
              <w:ind w:left="120" w:leftChars="0" w:firstLine="0" w:firstLineChars="0"/>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 xml:space="preserve">enhancing therapeutic nurse-patient relationships; </w:t>
            </w:r>
          </w:p>
          <w:p w14:paraId="0054DFB8">
            <w:pPr>
              <w:keepNext w:val="0"/>
              <w:keepLines w:val="0"/>
              <w:widowControl/>
              <w:suppressLineNumbers w:val="0"/>
              <w:spacing w:before="0" w:beforeAutospacing="0" w:after="0" w:afterAutospacing="0" w:line="240" w:lineRule="auto"/>
              <w:ind w:left="120" w:leftChars="0" w:right="0"/>
              <w:jc w:val="left"/>
              <w:rPr>
                <w:rFonts w:hint="default" w:ascii="Times New Roman" w:hAnsi="Times New Roman" w:eastAsia="宋体" w:cs="Times New Roman"/>
                <w:b w:val="0"/>
                <w:bCs w:val="0"/>
                <w:color w:val="000000"/>
                <w:kern w:val="0"/>
                <w:sz w:val="24"/>
                <w:szCs w:val="24"/>
                <w:vertAlign w:val="baseline"/>
                <w:lang w:val="en-US" w:eastAsia="zh-CN" w:bidi="ar"/>
              </w:rPr>
            </w:pPr>
            <w:r>
              <w:rPr>
                <w:rFonts w:hint="default" w:ascii="Times New Roman" w:hAnsi="Times New Roman" w:eastAsia="宋体" w:cs="Times New Roman"/>
                <w:b w:val="0"/>
                <w:bCs w:val="0"/>
                <w:color w:val="0000FF"/>
                <w:kern w:val="0"/>
                <w:sz w:val="21"/>
                <w:szCs w:val="21"/>
                <w:lang w:val="en-US" w:eastAsia="zh-CN" w:bidi="ar"/>
              </w:rPr>
              <w:t>Demonstrate therapeutic interaction, modify health behaviors, guide symptom management, provide emotional support to families, strengthen the nurse-patient relationship, and promote behavioral change.</w:t>
            </w:r>
          </w:p>
        </w:tc>
        <w:tc>
          <w:tcPr>
            <w:tcW w:w="608" w:type="dxa"/>
          </w:tcPr>
          <w:p w14:paraId="4E2D9E87">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79076FE2">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3696F5EE">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188B1EBE">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57D590F1">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0F7ECD43">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12" w:type="dxa"/>
          </w:tcPr>
          <w:p w14:paraId="327A6ECD">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r>
      <w:tr w14:paraId="33097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140" w:type="dxa"/>
          </w:tcPr>
          <w:p w14:paraId="0E463AB1">
            <w:pPr>
              <w:numPr>
                <w:ilvl w:val="0"/>
                <w:numId w:val="0"/>
              </w:numPr>
              <w:spacing w:line="360" w:lineRule="auto"/>
              <w:ind w:left="120" w:leftChars="0" w:firstLine="0" w:firstLineChars="0"/>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effective leadership and interdisciplinary collaboration;</w:t>
            </w:r>
          </w:p>
          <w:p w14:paraId="288859C3">
            <w:pPr>
              <w:keepNext w:val="0"/>
              <w:keepLines w:val="0"/>
              <w:widowControl/>
              <w:suppressLineNumbers w:val="0"/>
              <w:spacing w:before="0" w:beforeAutospacing="0" w:after="0" w:afterAutospacing="0" w:line="240" w:lineRule="auto"/>
              <w:ind w:left="120" w:leftChars="0" w:right="0"/>
              <w:jc w:val="left"/>
              <w:rPr>
                <w:rFonts w:hint="default" w:ascii="Times New Roman" w:hAnsi="Times New Roman" w:eastAsia="宋体" w:cs="Times New Roman"/>
                <w:b w:val="0"/>
                <w:bCs w:val="0"/>
                <w:color w:val="000000"/>
                <w:kern w:val="0"/>
                <w:sz w:val="24"/>
                <w:szCs w:val="24"/>
                <w:vertAlign w:val="baseline"/>
                <w:lang w:val="en-US" w:eastAsia="zh-CN" w:bidi="ar"/>
              </w:rPr>
            </w:pPr>
            <w:r>
              <w:rPr>
                <w:rFonts w:hint="default" w:ascii="Times New Roman" w:hAnsi="Times New Roman" w:eastAsia="宋体" w:cs="Times New Roman"/>
                <w:b w:val="0"/>
                <w:bCs w:val="0"/>
                <w:color w:val="0000FF"/>
                <w:kern w:val="0"/>
                <w:sz w:val="21"/>
                <w:szCs w:val="21"/>
                <w:lang w:val="en-US" w:eastAsia="zh-CN" w:bidi="ar"/>
              </w:rPr>
              <w:t>Coordinate and integrate resources to adapt to change, lead the dissemination and promotion of health education, delegate, support, and supervise complex nursing cases, drive innovative collaboration within interdisciplinary teams, demonstrate leadership and influence, and organize professional events.</w:t>
            </w:r>
          </w:p>
        </w:tc>
        <w:tc>
          <w:tcPr>
            <w:tcW w:w="608" w:type="dxa"/>
          </w:tcPr>
          <w:p w14:paraId="5EFAE3C4">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5BFAB06E">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7F765B6B">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6C706BB5">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7D282B2B">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0D419B48">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12" w:type="dxa"/>
          </w:tcPr>
          <w:p w14:paraId="013D7D37">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r>
      <w:tr w14:paraId="5FBF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140" w:type="dxa"/>
          </w:tcPr>
          <w:p w14:paraId="42D98431">
            <w:pPr>
              <w:numPr>
                <w:ilvl w:val="0"/>
                <w:numId w:val="0"/>
              </w:numPr>
              <w:spacing w:line="360" w:lineRule="auto"/>
              <w:ind w:left="120" w:leftChars="0" w:firstLine="0" w:firstLineChars="0"/>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strengthening quality assurance systems;</w:t>
            </w:r>
          </w:p>
          <w:p w14:paraId="7FDBC6B9">
            <w:pPr>
              <w:keepNext w:val="0"/>
              <w:keepLines w:val="0"/>
              <w:widowControl/>
              <w:suppressLineNumbers w:val="0"/>
              <w:spacing w:before="0" w:beforeAutospacing="0" w:after="0" w:afterAutospacing="0" w:line="240" w:lineRule="auto"/>
              <w:ind w:left="120" w:leftChars="0" w:right="0"/>
              <w:jc w:val="left"/>
              <w:rPr>
                <w:rFonts w:hint="default" w:ascii="Times New Roman" w:hAnsi="Times New Roman" w:eastAsia="宋体" w:cs="Times New Roman"/>
                <w:b w:val="0"/>
                <w:bCs w:val="0"/>
                <w:color w:val="000000"/>
                <w:kern w:val="0"/>
                <w:sz w:val="24"/>
                <w:szCs w:val="24"/>
                <w:vertAlign w:val="baseline"/>
                <w:lang w:val="en-US" w:eastAsia="zh-CN" w:bidi="ar"/>
              </w:rPr>
            </w:pPr>
            <w:r>
              <w:rPr>
                <w:rFonts w:hint="default" w:ascii="Times New Roman" w:hAnsi="Times New Roman" w:eastAsia="宋体" w:cs="Times New Roman"/>
                <w:b w:val="0"/>
                <w:bCs w:val="0"/>
                <w:color w:val="0000FF"/>
                <w:kern w:val="0"/>
                <w:sz w:val="21"/>
                <w:szCs w:val="21"/>
                <w:lang w:val="en-US" w:eastAsia="zh-CN" w:bidi="ar"/>
              </w:rPr>
              <w:t>Take responsibility for or participate in the development of work systems, processes, and guidelines; provide comprehensive follow-up services for patients; monitor the quality of nursing services and handle related complaints; offer constructive feedback on clinical management; and possess interdisciplinary collabortion skills to enhance nursing quality.</w:t>
            </w:r>
          </w:p>
        </w:tc>
        <w:tc>
          <w:tcPr>
            <w:tcW w:w="608" w:type="dxa"/>
          </w:tcPr>
          <w:p w14:paraId="201324BE">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6183EF5A">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6A2C9501">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482B4FA8">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05D67E1E">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18ED5428">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12" w:type="dxa"/>
          </w:tcPr>
          <w:p w14:paraId="31B83139">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r>
      <w:tr w14:paraId="06D5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140" w:type="dxa"/>
          </w:tcPr>
          <w:p w14:paraId="06BD1AA9">
            <w:pPr>
              <w:numPr>
                <w:ilvl w:val="0"/>
                <w:numId w:val="0"/>
              </w:numPr>
              <w:spacing w:line="360" w:lineRule="auto"/>
              <w:ind w:left="120" w:leftChars="0" w:firstLine="0" w:firstLineChars="0"/>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 xml:space="preserve">managing innovative and effective nursing service delivery; </w:t>
            </w:r>
          </w:p>
          <w:p w14:paraId="0F650747">
            <w:pPr>
              <w:keepNext w:val="0"/>
              <w:keepLines w:val="0"/>
              <w:widowControl/>
              <w:suppressLineNumbers w:val="0"/>
              <w:spacing w:before="0" w:beforeAutospacing="0" w:after="0" w:afterAutospacing="0" w:line="240" w:lineRule="auto"/>
              <w:ind w:left="120" w:leftChars="0" w:right="0"/>
              <w:jc w:val="left"/>
              <w:rPr>
                <w:rFonts w:hint="default" w:ascii="Times New Roman" w:hAnsi="Times New Roman" w:eastAsia="宋体" w:cs="Times New Roman"/>
                <w:b w:val="0"/>
                <w:bCs w:val="0"/>
                <w:color w:val="000000"/>
                <w:kern w:val="0"/>
                <w:sz w:val="24"/>
                <w:szCs w:val="24"/>
                <w:vertAlign w:val="baseline"/>
                <w:lang w:val="en-US" w:eastAsia="zh-CN" w:bidi="ar"/>
              </w:rPr>
            </w:pPr>
            <w:r>
              <w:rPr>
                <w:rFonts w:hint="default" w:ascii="Times New Roman" w:hAnsi="Times New Roman" w:eastAsia="宋体" w:cs="Times New Roman"/>
                <w:b w:val="0"/>
                <w:bCs w:val="0"/>
                <w:color w:val="0000FF"/>
                <w:kern w:val="0"/>
                <w:sz w:val="21"/>
                <w:szCs w:val="21"/>
                <w:lang w:val="en-US" w:eastAsia="zh-CN" w:bidi="ar"/>
              </w:rPr>
              <w:t>Adopt safe, effective, and cost-effective treatment plans for patients; make evidence-based nursing decisions; develop and implement plans; and provide optimal treatment options.</w:t>
            </w:r>
          </w:p>
        </w:tc>
        <w:tc>
          <w:tcPr>
            <w:tcW w:w="608" w:type="dxa"/>
          </w:tcPr>
          <w:p w14:paraId="4DED7EAC">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34BC24AF">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083DD83D">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73AE422B">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7536B6AF">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0F0C555D">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12" w:type="dxa"/>
          </w:tcPr>
          <w:p w14:paraId="64E92FCF">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r>
      <w:tr w14:paraId="2E15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140" w:type="dxa"/>
          </w:tcPr>
          <w:p w14:paraId="1581365F">
            <w:pPr>
              <w:numPr>
                <w:ilvl w:val="0"/>
                <w:numId w:val="0"/>
              </w:numPr>
              <w:spacing w:line="360" w:lineRule="auto"/>
              <w:ind w:left="120" w:leftChars="0" w:firstLine="0" w:firstLineChars="0"/>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 xml:space="preserve">reinforcing general professional attributes and advanced practice competencies; </w:t>
            </w:r>
          </w:p>
          <w:p w14:paraId="2A3FF1DF">
            <w:pPr>
              <w:keepNext w:val="0"/>
              <w:keepLines w:val="0"/>
              <w:widowControl/>
              <w:suppressLineNumbers w:val="0"/>
              <w:spacing w:before="0" w:beforeAutospacing="0" w:after="0" w:afterAutospacing="0" w:line="240" w:lineRule="auto"/>
              <w:ind w:left="120" w:leftChars="0" w:right="0"/>
              <w:jc w:val="left"/>
              <w:rPr>
                <w:rFonts w:hint="default" w:ascii="Times New Roman" w:hAnsi="Times New Roman" w:eastAsia="宋体" w:cs="Times New Roman"/>
                <w:b w:val="0"/>
                <w:bCs w:val="0"/>
                <w:color w:val="000000"/>
                <w:kern w:val="0"/>
                <w:sz w:val="24"/>
                <w:szCs w:val="24"/>
                <w:vertAlign w:val="baseline"/>
                <w:lang w:val="en-US" w:eastAsia="zh-CN" w:bidi="ar"/>
              </w:rPr>
            </w:pPr>
            <w:r>
              <w:rPr>
                <w:rFonts w:hint="default" w:ascii="Times New Roman" w:hAnsi="Times New Roman" w:eastAsia="宋体" w:cs="Times New Roman"/>
                <w:b w:val="0"/>
                <w:bCs w:val="0"/>
                <w:color w:val="0000FF"/>
                <w:kern w:val="0"/>
                <w:sz w:val="21"/>
                <w:szCs w:val="21"/>
                <w:lang w:val="en-US" w:eastAsia="zh-CN" w:bidi="ar"/>
              </w:rPr>
              <w:t>Advocate for ethical practice, participate in evidence-based practice and research activities, demonstrate professionalism, and promote the strengths, roles, and scope of practice of the nursing profession; serve as a role model and inspire staff to pursue self-development.</w:t>
            </w:r>
          </w:p>
        </w:tc>
        <w:tc>
          <w:tcPr>
            <w:tcW w:w="608" w:type="dxa"/>
          </w:tcPr>
          <w:p w14:paraId="2491AF8B">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53BF9BE8">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7810206F">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2BCBD0A8">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35AEB87B">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33FC0D2F">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12" w:type="dxa"/>
          </w:tcPr>
          <w:p w14:paraId="2F6A8BF5">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r>
      <w:tr w14:paraId="6C04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6140" w:type="dxa"/>
          </w:tcPr>
          <w:p w14:paraId="3256CA35">
            <w:pPr>
              <w:numPr>
                <w:ilvl w:val="0"/>
                <w:numId w:val="0"/>
              </w:numPr>
              <w:spacing w:line="360" w:lineRule="auto"/>
              <w:ind w:left="120" w:leftChars="0" w:firstLine="0" w:firstLineChars="0"/>
              <w:rPr>
                <w:rFonts w:hint="default" w:ascii="Times New Roman" w:hAnsi="Times New Roman" w:eastAsia="宋体" w:cs="Times New Roman"/>
                <w:b w:val="0"/>
                <w:bCs w:val="0"/>
                <w:color w:val="000000"/>
                <w:kern w:val="0"/>
                <w:sz w:val="24"/>
                <w:szCs w:val="24"/>
                <w:lang w:val="en-US" w:eastAsia="zh-CN" w:bidi="ar"/>
              </w:rPr>
            </w:pPr>
            <w:r>
              <w:rPr>
                <w:rFonts w:hint="default" w:ascii="Times New Roman" w:hAnsi="Times New Roman" w:eastAsia="宋体" w:cs="Times New Roman"/>
                <w:b w:val="0"/>
                <w:bCs w:val="0"/>
                <w:color w:val="000000"/>
                <w:kern w:val="0"/>
                <w:sz w:val="24"/>
                <w:szCs w:val="24"/>
                <w:lang w:val="en-US" w:eastAsia="zh-CN" w:bidi="ar"/>
              </w:rPr>
              <w:t>enhancing personal attributes.</w:t>
            </w:r>
          </w:p>
          <w:p w14:paraId="25BD3139">
            <w:pPr>
              <w:keepNext w:val="0"/>
              <w:keepLines w:val="0"/>
              <w:widowControl/>
              <w:suppressLineNumbers w:val="0"/>
              <w:spacing w:before="0" w:beforeAutospacing="0" w:after="0" w:afterAutospacing="0" w:line="240" w:lineRule="auto"/>
              <w:ind w:left="120" w:leftChars="0" w:right="0"/>
              <w:jc w:val="left"/>
              <w:rPr>
                <w:rFonts w:hint="default" w:ascii="Times New Roman" w:hAnsi="Times New Roman" w:eastAsia="宋体" w:cs="Times New Roman"/>
                <w:b w:val="0"/>
                <w:bCs w:val="0"/>
                <w:color w:val="000000"/>
                <w:kern w:val="0"/>
                <w:sz w:val="24"/>
                <w:szCs w:val="24"/>
                <w:vertAlign w:val="baseline"/>
                <w:lang w:val="en-US" w:eastAsia="zh-CN" w:bidi="ar"/>
              </w:rPr>
            </w:pPr>
            <w:r>
              <w:rPr>
                <w:rFonts w:hint="default" w:ascii="Times New Roman" w:hAnsi="Times New Roman" w:eastAsia="宋体" w:cs="Times New Roman"/>
                <w:b w:val="0"/>
                <w:bCs w:val="0"/>
                <w:color w:val="0000FF"/>
                <w:kern w:val="0"/>
                <w:sz w:val="21"/>
                <w:szCs w:val="21"/>
                <w:lang w:val="en-US" w:eastAsia="zh-CN" w:bidi="ar"/>
              </w:rPr>
              <w:t>Critically analyze problems and identify underlying relationships; actively participate in professional organizations.</w:t>
            </w:r>
          </w:p>
        </w:tc>
        <w:tc>
          <w:tcPr>
            <w:tcW w:w="608" w:type="dxa"/>
          </w:tcPr>
          <w:p w14:paraId="1E28C83C">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3CD83CCD">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39BD2EE8">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7A3E6770">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1D59DF82">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08" w:type="dxa"/>
          </w:tcPr>
          <w:p w14:paraId="24CA5DFE">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c>
          <w:tcPr>
            <w:tcW w:w="612" w:type="dxa"/>
          </w:tcPr>
          <w:p w14:paraId="48FA7743">
            <w:pPr>
              <w:numPr>
                <w:numId w:val="0"/>
              </w:numPr>
              <w:spacing w:line="360" w:lineRule="auto"/>
              <w:rPr>
                <w:rFonts w:hint="default" w:ascii="Times New Roman" w:hAnsi="Times New Roman" w:eastAsia="宋体" w:cs="Times New Roman"/>
                <w:b w:val="0"/>
                <w:bCs w:val="0"/>
                <w:color w:val="000000"/>
                <w:kern w:val="0"/>
                <w:sz w:val="24"/>
                <w:szCs w:val="24"/>
                <w:vertAlign w:val="baseline"/>
                <w:lang w:val="en-US" w:eastAsia="zh-CN" w:bidi="ar"/>
              </w:rPr>
            </w:pPr>
          </w:p>
        </w:tc>
      </w:tr>
    </w:tbl>
    <w:p w14:paraId="684B0FEA">
      <w:pPr>
        <w:spacing w:line="360" w:lineRule="auto"/>
        <w:rPr>
          <w:rFonts w:hint="default" w:ascii="Times New Roman" w:hAnsi="Times New Roman" w:eastAsia="宋体" w:cs="Times New Roman"/>
          <w:b w:val="0"/>
          <w:bCs w:val="0"/>
          <w:color w:val="00000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D5F1B"/>
    <w:rsid w:val="298D5F1B"/>
    <w:rsid w:val="2D971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eepNext/>
      <w:keepLines/>
      <w:spacing w:beforeLines="0" w:beforeAutospacing="0" w:afterLines="0" w:afterAutospacing="0" w:line="360" w:lineRule="auto"/>
      <w:outlineLvl w:val="0"/>
    </w:pPr>
    <w:rPr>
      <w:rFonts w:ascii="Times New Roman" w:hAnsi="Times New Roman" w:eastAsia="微软雅黑"/>
      <w:b/>
      <w:sz w:val="24"/>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1</Lines>
  <Paragraphs>1</Paragraphs>
  <TotalTime>14</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2026-06-12T00:54:00Z</dcterms:created>
  <dc:creator>室内有恶犬</dc:creator>
  <cp:lastModifiedBy>室内有恶犬</cp:lastModifiedBy>
  <dcterms:modified xsi:type="dcterms:W3CDTF">2026-06-12T02:37:09Z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07C83B55AF87486EA301BBB0A1E33F01_11</vt:lpwstr>
  </property>
  <property fmtid="{D5CDD505-2E9C-101B-9397-08002B2CF9AE}" pid="4" name="KSOTemplateDocerSaveRecord">
    <vt:lpwstr>eyJoZGlkIjoiMWJhZDQ0OWUxNDlkZGVmZjFhOTZlYzhlNjAyMDMwMGQiLCJ1c2VySWQiOiI1ODM3MjA5OTIifQ==</vt:lpwstr>
  </property>
</Properties>
</file>