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"/>
        <w:gridCol w:w="800"/>
        <w:gridCol w:w="788"/>
        <w:gridCol w:w="873"/>
        <w:gridCol w:w="816"/>
        <w:gridCol w:w="800"/>
        <w:gridCol w:w="800"/>
        <w:gridCol w:w="873"/>
        <w:gridCol w:w="816"/>
        <w:gridCol w:w="800"/>
        <w:gridCol w:w="777"/>
      </w:tblGrid>
      <w:tr w:rsidR="00C10D0F" w:rsidRPr="001424F6" w:rsidTr="00625F8C"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color w:val="FF0000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1588" w:type="dxa"/>
            <w:gridSpan w:val="2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Most significant</w:t>
            </w:r>
          </w:p>
        </w:tc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816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816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→</w:t>
            </w:r>
          </w:p>
        </w:tc>
        <w:tc>
          <w:tcPr>
            <w:tcW w:w="1577" w:type="dxa"/>
            <w:gridSpan w:val="2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Least significant</w:t>
            </w:r>
          </w:p>
        </w:tc>
      </w:tr>
      <w:tr w:rsidR="00C10D0F" w:rsidRPr="001424F6" w:rsidTr="00625F8C"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Value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Vision</w:t>
            </w:r>
          </w:p>
        </w:tc>
        <w:tc>
          <w:tcPr>
            <w:tcW w:w="788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Central retina</w:t>
            </w:r>
          </w:p>
        </w:tc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Inner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Temporal</w:t>
            </w:r>
          </w:p>
        </w:tc>
        <w:tc>
          <w:tcPr>
            <w:tcW w:w="816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Inner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Superior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Inner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Nasal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Inner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Inferior</w:t>
            </w:r>
          </w:p>
        </w:tc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Outer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Temporal</w:t>
            </w:r>
          </w:p>
        </w:tc>
        <w:tc>
          <w:tcPr>
            <w:tcW w:w="816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Outer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Superior</w:t>
            </w:r>
          </w:p>
        </w:tc>
        <w:tc>
          <w:tcPr>
            <w:tcW w:w="800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Outer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Nasal</w:t>
            </w:r>
          </w:p>
        </w:tc>
        <w:tc>
          <w:tcPr>
            <w:tcW w:w="777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Outer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b/>
                <w:bCs/>
                <w:sz w:val="14"/>
                <w:szCs w:val="14"/>
                <w:shd w:val="clear" w:color="auto" w:fill="FFFFFF"/>
              </w:rPr>
              <w:t>Inferior</w:t>
            </w:r>
          </w:p>
        </w:tc>
      </w:tr>
      <w:tr w:rsidR="00C10D0F" w:rsidRPr="001424F6" w:rsidTr="00625F8C"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State number</w:t>
            </w: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Reduced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788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73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16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73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16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777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Normal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Thick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Thin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color w:val="4F81BD" w:themeColor="accent1"/>
                <w:sz w:val="14"/>
                <w:szCs w:val="14"/>
                <w:shd w:val="clear" w:color="auto" w:fill="FFFFFF"/>
              </w:rPr>
            </w:pPr>
          </w:p>
        </w:tc>
      </w:tr>
      <w:tr w:rsidR="00C10D0F" w:rsidRPr="001424F6" w:rsidTr="00625F8C">
        <w:tc>
          <w:tcPr>
            <w:tcW w:w="873" w:type="dxa"/>
          </w:tcPr>
          <w:p w:rsidR="00C10D0F" w:rsidRPr="00E56D56" w:rsidRDefault="00C10D0F" w:rsidP="00625F8C">
            <w:pPr>
              <w:jc w:val="both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Response</w:t>
            </w:r>
          </w:p>
          <w:p w:rsidR="00C10D0F" w:rsidRPr="00E56D56" w:rsidRDefault="00C10D0F" w:rsidP="00625F8C">
            <w:pPr>
              <w:jc w:val="both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number</w:t>
            </w: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788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73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16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73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16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800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  <w:tc>
          <w:tcPr>
            <w:tcW w:w="777" w:type="dxa"/>
          </w:tcPr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Same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Better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or</w:t>
            </w:r>
          </w:p>
          <w:p w:rsidR="00C10D0F" w:rsidRPr="00E56D56" w:rsidRDefault="00C10D0F" w:rsidP="00625F8C">
            <w:pPr>
              <w:jc w:val="center"/>
              <w:rPr>
                <w:rFonts w:ascii="Arial" w:hAnsi="Arial" w:cs="Arial"/>
                <w:sz w:val="14"/>
                <w:szCs w:val="14"/>
                <w:shd w:val="clear" w:color="auto" w:fill="FFFFFF"/>
              </w:rPr>
            </w:pPr>
            <w:r w:rsidRPr="00E56D56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Worse</w:t>
            </w:r>
          </w:p>
        </w:tc>
      </w:tr>
    </w:tbl>
    <w:p w:rsidR="00C10D0F" w:rsidRDefault="00C10D0F" w:rsidP="00C10D0F">
      <w:pPr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1424F6">
        <w:rPr>
          <w:rFonts w:ascii="Arial" w:hAnsi="Arial" w:cs="Arial"/>
          <w:sz w:val="16"/>
          <w:szCs w:val="16"/>
          <w:shd w:val="clear" w:color="auto" w:fill="FFFFFF"/>
        </w:rPr>
        <w:t>(Table 1- stacked values for weighted sum of response and state number)</w:t>
      </w:r>
    </w:p>
    <w:tbl>
      <w:tblPr>
        <w:tblpPr w:leftFromText="180" w:rightFromText="180" w:vertAnchor="text" w:horzAnchor="margin" w:tblpY="271"/>
        <w:tblW w:w="8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79"/>
        <w:gridCol w:w="2161"/>
        <w:gridCol w:w="2397"/>
      </w:tblGrid>
      <w:tr w:rsidR="00C10D0F" w:rsidRPr="001424F6" w:rsidTr="00625F8C"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b/>
                <w:bCs/>
                <w:color w:val="FF0000"/>
                <w:sz w:val="16"/>
                <w:szCs w:val="16"/>
              </w:rPr>
            </w:pPr>
            <w:r w:rsidRPr="003E4B54">
              <w:rPr>
                <w:rFonts w:ascii="Arial" w:hAnsi="Arial"/>
                <w:b/>
                <w:bCs/>
                <w:color w:val="FF0000"/>
                <w:sz w:val="16"/>
                <w:szCs w:val="16"/>
              </w:rPr>
              <w:t>Response number</w:t>
            </w: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FF0000"/>
                <w:sz w:val="16"/>
                <w:szCs w:val="16"/>
              </w:rPr>
            </w:pP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FF0000"/>
                <w:sz w:val="16"/>
                <w:szCs w:val="16"/>
              </w:rPr>
            </w:pPr>
          </w:p>
        </w:tc>
      </w:tr>
      <w:tr w:rsidR="00C10D0F" w:rsidRPr="001424F6" w:rsidTr="00625F8C"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FF0000"/>
                <w:sz w:val="16"/>
                <w:szCs w:val="16"/>
              </w:rPr>
            </w:pPr>
            <w:r w:rsidRPr="003E4B54">
              <w:rPr>
                <w:rFonts w:ascii="Arial" w:hAnsi="Arial"/>
                <w:color w:val="FF0000"/>
                <w:sz w:val="16"/>
                <w:szCs w:val="16"/>
              </w:rPr>
              <w:t>Worse</w:t>
            </w: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FF0000"/>
                <w:sz w:val="16"/>
                <w:szCs w:val="16"/>
              </w:rPr>
            </w:pPr>
            <w:r w:rsidRPr="003E4B54">
              <w:rPr>
                <w:rFonts w:ascii="Arial" w:hAnsi="Arial"/>
                <w:color w:val="FF0000"/>
                <w:sz w:val="16"/>
                <w:szCs w:val="16"/>
              </w:rPr>
              <w:t>Same</w:t>
            </w: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FF0000"/>
                <w:sz w:val="16"/>
                <w:szCs w:val="16"/>
              </w:rPr>
            </w:pPr>
            <w:r w:rsidRPr="003E4B54">
              <w:rPr>
                <w:rFonts w:ascii="Arial" w:hAnsi="Arial"/>
                <w:color w:val="FF0000"/>
                <w:sz w:val="16"/>
                <w:szCs w:val="16"/>
              </w:rPr>
              <w:t>Better</w:t>
            </w:r>
          </w:p>
        </w:tc>
      </w:tr>
      <w:tr w:rsidR="00C10D0F" w:rsidRPr="001424F6" w:rsidTr="00625F8C"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b/>
                <w:bCs/>
                <w:color w:val="4F81BD" w:themeColor="accent1"/>
                <w:sz w:val="16"/>
                <w:szCs w:val="16"/>
              </w:rPr>
            </w:pPr>
            <w:r w:rsidRPr="003E4B54">
              <w:rPr>
                <w:rFonts w:ascii="Arial" w:hAnsi="Arial"/>
                <w:b/>
                <w:bCs/>
                <w:color w:val="4F81BD" w:themeColor="accent1"/>
                <w:sz w:val="16"/>
                <w:szCs w:val="16"/>
              </w:rPr>
              <w:t>State number</w:t>
            </w: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</w:p>
        </w:tc>
      </w:tr>
      <w:tr w:rsidR="00C10D0F" w:rsidRPr="001424F6" w:rsidTr="00625F8C"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4F81BD" w:themeColor="accent1"/>
                <w:sz w:val="16"/>
                <w:szCs w:val="16"/>
              </w:rPr>
            </w:pPr>
            <w:r w:rsidRPr="003E4B54">
              <w:rPr>
                <w:rFonts w:ascii="Arial" w:hAnsi="Arial"/>
                <w:color w:val="4F81BD" w:themeColor="accent1"/>
                <w:sz w:val="16"/>
                <w:szCs w:val="16"/>
              </w:rPr>
              <w:t>Thickened</w:t>
            </w: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reduce interval towards minimum. If at minimum interval already, consider treating with different agent</w:t>
            </w: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keep interval the same</w:t>
            </w: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extend treatment interval</w:t>
            </w:r>
          </w:p>
        </w:tc>
      </w:tr>
      <w:tr w:rsidR="00C10D0F" w:rsidRPr="001424F6" w:rsidTr="00625F8C"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4F81BD" w:themeColor="accent1"/>
                <w:sz w:val="16"/>
                <w:szCs w:val="16"/>
              </w:rPr>
            </w:pPr>
            <w:r w:rsidRPr="003E4B54">
              <w:rPr>
                <w:rFonts w:ascii="Arial" w:hAnsi="Arial"/>
                <w:color w:val="4F81BD" w:themeColor="accent1"/>
                <w:sz w:val="16"/>
                <w:szCs w:val="16"/>
              </w:rPr>
              <w:t>Normal</w:t>
            </w: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reduce interval towards minimum</w:t>
            </w: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extend treatment interval</w:t>
            </w: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extend treatment interval</w:t>
            </w:r>
          </w:p>
        </w:tc>
      </w:tr>
      <w:tr w:rsidR="00C10D0F" w:rsidRPr="001424F6" w:rsidTr="00625F8C">
        <w:trPr>
          <w:trHeight w:val="608"/>
        </w:trPr>
        <w:tc>
          <w:tcPr>
            <w:tcW w:w="2164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color w:val="4F81BD" w:themeColor="accent1"/>
                <w:sz w:val="16"/>
                <w:szCs w:val="16"/>
              </w:rPr>
            </w:pPr>
            <w:r w:rsidRPr="003E4B54">
              <w:rPr>
                <w:rFonts w:ascii="Arial" w:hAnsi="Arial"/>
                <w:color w:val="4F81BD" w:themeColor="accent1"/>
                <w:sz w:val="16"/>
                <w:szCs w:val="16"/>
              </w:rPr>
              <w:t>Thinned</w:t>
            </w:r>
          </w:p>
        </w:tc>
        <w:tc>
          <w:tcPr>
            <w:tcW w:w="2179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reduce interval towards minimum</w:t>
            </w:r>
          </w:p>
        </w:tc>
        <w:tc>
          <w:tcPr>
            <w:tcW w:w="2161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extend treatment interval</w:t>
            </w:r>
          </w:p>
        </w:tc>
        <w:tc>
          <w:tcPr>
            <w:tcW w:w="2397" w:type="dxa"/>
          </w:tcPr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Treat and extend treatment interval</w:t>
            </w:r>
          </w:p>
          <w:p w:rsidR="00C10D0F" w:rsidRPr="003E4B54" w:rsidRDefault="00C10D0F" w:rsidP="00625F8C">
            <w:pPr>
              <w:pStyle w:val="Standard"/>
              <w:rPr>
                <w:rFonts w:ascii="Arial" w:hAnsi="Arial"/>
                <w:sz w:val="16"/>
                <w:szCs w:val="16"/>
              </w:rPr>
            </w:pPr>
            <w:r w:rsidRPr="003E4B54">
              <w:rPr>
                <w:rFonts w:ascii="Arial" w:hAnsi="Arial"/>
                <w:sz w:val="16"/>
                <w:szCs w:val="16"/>
              </w:rPr>
              <w:t>Give warning notice to user</w:t>
            </w:r>
          </w:p>
        </w:tc>
      </w:tr>
    </w:tbl>
    <w:p w:rsidR="00C10D0F" w:rsidRPr="00BA76D8" w:rsidRDefault="00C10D0F" w:rsidP="00C10D0F">
      <w:pPr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(</w:t>
      </w:r>
      <w:r w:rsidRPr="001424F6">
        <w:rPr>
          <w:rFonts w:ascii="Arial" w:hAnsi="Arial" w:cs="Arial"/>
          <w:sz w:val="16"/>
          <w:szCs w:val="16"/>
          <w:shd w:val="clear" w:color="auto" w:fill="FFFFFF"/>
        </w:rPr>
        <w:t xml:space="preserve">Table 2 –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management recommendation based on </w:t>
      </w:r>
      <w:r w:rsidRPr="001424F6">
        <w:rPr>
          <w:rFonts w:ascii="Arial" w:hAnsi="Arial" w:cs="Arial"/>
          <w:sz w:val="16"/>
          <w:szCs w:val="16"/>
          <w:shd w:val="clear" w:color="auto" w:fill="FFFFFF"/>
        </w:rPr>
        <w:t>state and response number)</w:t>
      </w:r>
    </w:p>
    <w:p w:rsidR="00C10D0F" w:rsidRPr="005749CA" w:rsidRDefault="00C10D0F" w:rsidP="00C10D0F">
      <w:pPr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B83DE3" w:rsidRDefault="00C10D0F">
      <w:r w:rsidRPr="001424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357D0D" wp14:editId="690B30B0">
            <wp:extent cx="3282020" cy="12805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465" t="40164" r="24539" b="16136"/>
                    <a:stretch/>
                  </pic:blipFill>
                  <pic:spPr bwMode="auto">
                    <a:xfrm>
                      <a:off x="0" y="0"/>
                      <a:ext cx="3318630" cy="129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0F" w:rsidRDefault="00C10D0F">
      <w:r w:rsidRPr="001424F6">
        <w:rPr>
          <w:rFonts w:ascii="Arial" w:hAnsi="Arial" w:cs="Arial"/>
          <w:sz w:val="16"/>
          <w:szCs w:val="16"/>
          <w:shd w:val="clear" w:color="auto" w:fill="FFFFFF"/>
        </w:rPr>
        <w:t xml:space="preserve">(Figure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1. </w:t>
      </w:r>
      <w:r w:rsidRPr="001424F6">
        <w:rPr>
          <w:rFonts w:ascii="Arial" w:hAnsi="Arial" w:cs="Arial"/>
          <w:sz w:val="16"/>
          <w:szCs w:val="16"/>
          <w:shd w:val="clear" w:color="auto" w:fill="FFFFFF"/>
        </w:rPr>
        <w:t>state and response of individual patient over time)</w:t>
      </w:r>
    </w:p>
    <w:p w:rsidR="00C10D0F" w:rsidRDefault="00C10D0F"/>
    <w:p w:rsidR="00C10D0F" w:rsidRDefault="00C10D0F">
      <w:r w:rsidRPr="001424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236309" wp14:editId="009B4A2F">
            <wp:extent cx="3967652" cy="8449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974" r="1836" b="48859"/>
                    <a:stretch/>
                  </pic:blipFill>
                  <pic:spPr bwMode="auto">
                    <a:xfrm>
                      <a:off x="0" y="0"/>
                      <a:ext cx="4305477" cy="91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0F" w:rsidRPr="001424F6" w:rsidRDefault="00C10D0F" w:rsidP="00C10D0F">
      <w:pPr>
        <w:pStyle w:val="NoSpacing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C10D0F" w:rsidRPr="001424F6" w:rsidRDefault="00C10D0F" w:rsidP="00C10D0F">
      <w:pPr>
        <w:pStyle w:val="NoSpacing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1424F6">
        <w:rPr>
          <w:rFonts w:ascii="Arial" w:hAnsi="Arial" w:cs="Arial"/>
          <w:sz w:val="16"/>
          <w:szCs w:val="16"/>
          <w:shd w:val="clear" w:color="auto" w:fill="FFFFFF"/>
        </w:rPr>
        <w:t xml:space="preserve"> (figure </w:t>
      </w:r>
      <w:r>
        <w:rPr>
          <w:rFonts w:ascii="Arial" w:hAnsi="Arial" w:cs="Arial"/>
          <w:sz w:val="16"/>
          <w:szCs w:val="16"/>
          <w:shd w:val="clear" w:color="auto" w:fill="FFFFFF"/>
        </w:rPr>
        <w:t>2</w:t>
      </w:r>
      <w:r w:rsidRPr="001424F6">
        <w:rPr>
          <w:rFonts w:ascii="Arial" w:hAnsi="Arial" w:cs="Arial"/>
          <w:sz w:val="16"/>
          <w:szCs w:val="16"/>
          <w:shd w:val="clear" w:color="auto" w:fill="FFFFFF"/>
        </w:rPr>
        <w:t>. Graphical representation of algorithm output describing recommended interval change)</w:t>
      </w:r>
    </w:p>
    <w:p w:rsidR="00C10D0F" w:rsidRDefault="00C10D0F"/>
    <w:p w:rsidR="00C10D0F" w:rsidRDefault="00C10D0F">
      <w:r w:rsidRPr="001424F6">
        <w:rPr>
          <w:noProof/>
        </w:rPr>
        <w:drawing>
          <wp:inline distT="0" distB="0" distL="0" distR="0" wp14:anchorId="5005E143" wp14:editId="0C9FA77A">
            <wp:extent cx="4496357" cy="962108"/>
            <wp:effectExtent l="0" t="0" r="0" b="0"/>
            <wp:docPr id="16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5B26139F-1971-44D0-852F-763290A71D1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>
                      <a:extLst>
                        <a:ext uri="{FF2B5EF4-FFF2-40B4-BE49-F238E27FC236}">
                          <a16:creationId xmlns:a16="http://schemas.microsoft.com/office/drawing/2014/main" id="{5B26139F-1971-44D0-852F-763290A71D1F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6"/>
                    <a:srcRect l="1681" t="16545" r="960" b="11759"/>
                    <a:stretch/>
                  </pic:blipFill>
                  <pic:spPr bwMode="auto">
                    <a:xfrm>
                      <a:off x="0" y="0"/>
                      <a:ext cx="4586539" cy="9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0F" w:rsidRDefault="00C10D0F" w:rsidP="00C10D0F">
      <w:pPr>
        <w:pStyle w:val="NoSpacing"/>
        <w:rPr>
          <w:sz w:val="16"/>
          <w:szCs w:val="16"/>
          <w:shd w:val="clear" w:color="auto" w:fill="FFFFFF"/>
        </w:rPr>
      </w:pPr>
      <w:r w:rsidRPr="001424F6">
        <w:rPr>
          <w:sz w:val="16"/>
          <w:szCs w:val="16"/>
          <w:shd w:val="clear" w:color="auto" w:fill="FFFFFF"/>
        </w:rPr>
        <w:t xml:space="preserve">(Figure </w:t>
      </w:r>
      <w:r>
        <w:rPr>
          <w:sz w:val="16"/>
          <w:szCs w:val="16"/>
          <w:shd w:val="clear" w:color="auto" w:fill="FFFFFF"/>
        </w:rPr>
        <w:t>3</w:t>
      </w:r>
      <w:r w:rsidRPr="001424F6">
        <w:rPr>
          <w:sz w:val="16"/>
          <w:szCs w:val="16"/>
          <w:shd w:val="clear" w:color="auto" w:fill="FFFFFF"/>
        </w:rPr>
        <w:t xml:space="preserve"> Changing the macular thickness thresholds</w:t>
      </w:r>
      <w:r>
        <w:rPr>
          <w:sz w:val="16"/>
          <w:szCs w:val="16"/>
          <w:shd w:val="clear" w:color="auto" w:fill="FFFFFF"/>
        </w:rPr>
        <w:t>)</w:t>
      </w:r>
    </w:p>
    <w:p w:rsidR="00C10D0F" w:rsidRDefault="00C10D0F">
      <w:r>
        <w:rPr>
          <w:noProof/>
        </w:rPr>
        <w:lastRenderedPageBreak/>
        <w:drawing>
          <wp:inline distT="0" distB="0" distL="0" distR="0" wp14:anchorId="02444539" wp14:editId="102057BA">
            <wp:extent cx="3627967" cy="1443567"/>
            <wp:effectExtent l="0" t="0" r="10795" b="4445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4EBC1F7C-185A-4315-A0E5-EB6516E99D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10D0F" w:rsidRPr="005E2FF4" w:rsidRDefault="00C10D0F" w:rsidP="00C10D0F">
      <w:pPr>
        <w:pStyle w:val="NoSpacing"/>
        <w:rPr>
          <w:rFonts w:ascii="Arial" w:hAnsi="Arial" w:cs="Arial"/>
          <w:sz w:val="16"/>
          <w:szCs w:val="16"/>
        </w:rPr>
      </w:pPr>
      <w:r w:rsidRPr="005E2FF4">
        <w:rPr>
          <w:rFonts w:ascii="Arial" w:hAnsi="Arial" w:cs="Arial"/>
          <w:sz w:val="16"/>
          <w:szCs w:val="16"/>
        </w:rPr>
        <w:t>(Figure 4 showing total comparison of intervals by clinician and software)</w:t>
      </w:r>
    </w:p>
    <w:p w:rsidR="00C10D0F" w:rsidRDefault="00C10D0F"/>
    <w:p w:rsidR="00C10D0F" w:rsidRDefault="00C10D0F"/>
    <w:p w:rsidR="00C10D0F" w:rsidRDefault="00C10D0F">
      <w:r w:rsidRPr="00D61CB0">
        <w:rPr>
          <w:rFonts w:ascii="Arial" w:eastAsia="Times New Roman" w:hAnsi="Arial" w:cs="Arial"/>
          <w:noProof/>
          <w:sz w:val="20"/>
          <w:szCs w:val="20"/>
          <w:lang w:eastAsia="en-GB"/>
        </w:rPr>
        <w:drawing>
          <wp:inline distT="0" distB="0" distL="0" distR="0" wp14:anchorId="0767B499" wp14:editId="30880103">
            <wp:extent cx="1849967" cy="13544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3" cy="139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0F" w:rsidRPr="00E326AE" w:rsidRDefault="00C10D0F" w:rsidP="00C10D0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n-GB"/>
        </w:rPr>
      </w:pPr>
      <w:r w:rsidRPr="00E326AE">
        <w:rPr>
          <w:rFonts w:ascii="Arial" w:eastAsia="Times New Roman" w:hAnsi="Arial" w:cs="Arial"/>
          <w:sz w:val="16"/>
          <w:szCs w:val="16"/>
          <w:lang w:eastAsia="en-GB"/>
        </w:rPr>
        <w:t>(Figure 5. Scatter graph to show the consensus between clinician and software in AMD patients)</w:t>
      </w:r>
    </w:p>
    <w:p w:rsidR="00C10D0F" w:rsidRDefault="00C10D0F"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9ED1D" wp14:editId="1E3A68D3">
                <wp:simplePos x="0" y="0"/>
                <wp:positionH relativeFrom="margin">
                  <wp:posOffset>-51683</wp:posOffset>
                </wp:positionH>
                <wp:positionV relativeFrom="paragraph">
                  <wp:posOffset>322028</wp:posOffset>
                </wp:positionV>
                <wp:extent cx="5873750" cy="1427904"/>
                <wp:effectExtent l="0" t="0" r="12700" b="2032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14279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22D6F" id="Rectangle 55" o:spid="_x0000_s1026" style="position:absolute;margin-left:-4.05pt;margin-top:25.35pt;width:462.5pt;height:1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" filled="f" strokecolor="#385d8a" strokeweight="2pt">
                <w10:wrap anchorx="margin"/>
              </v:rect>
            </w:pict>
          </mc:Fallback>
        </mc:AlternateContent>
      </w:r>
    </w:p>
    <w:p w:rsidR="00C10D0F" w:rsidRDefault="00C10D0F">
      <w:r w:rsidRPr="00045280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7D0ADD5" wp14:editId="1BA9C509">
            <wp:extent cx="1995960" cy="1308100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6197" cy="13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0C7C1" wp14:editId="576C0EA1">
            <wp:extent cx="1741419" cy="1223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890"/>
                    <a:stretch/>
                  </pic:blipFill>
                  <pic:spPr bwMode="auto">
                    <a:xfrm>
                      <a:off x="0" y="0"/>
                      <a:ext cx="1828513" cy="128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631C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5E50BCCB" wp14:editId="5A67AB49">
            <wp:extent cx="1734185" cy="1220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84"/>
                    <a:stretch/>
                  </pic:blipFill>
                  <pic:spPr bwMode="auto">
                    <a:xfrm>
                      <a:off x="0" y="0"/>
                      <a:ext cx="1826820" cy="128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D0F" w:rsidRPr="00E326AE" w:rsidRDefault="00C10D0F" w:rsidP="00C10D0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GB"/>
        </w:rPr>
      </w:pPr>
      <w:r w:rsidRPr="00E326AE">
        <w:rPr>
          <w:rFonts w:ascii="Times New Roman" w:eastAsia="Times New Roman" w:hAnsi="Times New Roman" w:cs="Times New Roman"/>
          <w:sz w:val="16"/>
          <w:szCs w:val="16"/>
          <w:lang w:eastAsia="en-GB"/>
        </w:rPr>
        <w:t>(Figure 6. Histograms of intervals in weeks suggested by the software compared to the clinician gold standard.</w:t>
      </w:r>
    </w:p>
    <w:p w:rsidR="00C10D0F" w:rsidRDefault="00C10D0F"/>
    <w:p w:rsidR="00C10D0F" w:rsidRDefault="00C10D0F" w:rsidP="00C10D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EB0A1D" wp14:editId="1BEFD99F">
                <wp:simplePos x="0" y="0"/>
                <wp:positionH relativeFrom="margin">
                  <wp:posOffset>-11430</wp:posOffset>
                </wp:positionH>
                <wp:positionV relativeFrom="paragraph">
                  <wp:posOffset>321945</wp:posOffset>
                </wp:positionV>
                <wp:extent cx="5621655" cy="1121410"/>
                <wp:effectExtent l="0" t="0" r="17145" b="215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655" cy="1121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0D0F" w:rsidRDefault="00C10D0F" w:rsidP="00C10D0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  <w:p w:rsidR="00C10D0F" w:rsidRDefault="00C10D0F" w:rsidP="00C10D0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B0A1D" id="Rectangle 56" o:spid="_x0000_s1026" style="position:absolute;left:0;text-align:left;margin-left:-.9pt;margin-top:25.35pt;width:442.65pt;height:88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" filled="f" strokecolor="#385d8a" strokeweight="2pt">
                <v:textbox>
                  <w:txbxContent>
                    <w:p w:rsidR="00C10D0F" w:rsidRDefault="00C10D0F" w:rsidP="00C10D0F">
                      <w:pPr>
                        <w:jc w:val="center"/>
                      </w:pPr>
                      <w:r>
                        <w:t xml:space="preserve">  </w:t>
                      </w:r>
                    </w:p>
                    <w:p w:rsidR="00C10D0F" w:rsidRDefault="00C10D0F" w:rsidP="00C10D0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</w:t>
      </w:r>
    </w:p>
    <w:p w:rsidR="00C10D0F" w:rsidRDefault="00C10D0F">
      <w:r w:rsidRPr="008C46C4">
        <w:rPr>
          <w:noProof/>
        </w:rPr>
        <w:drawing>
          <wp:inline distT="0" distB="0" distL="0" distR="0" wp14:anchorId="6CC1BEE3" wp14:editId="5FC4F17D">
            <wp:extent cx="2023533" cy="112251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0345" cy="11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859">
        <w:rPr>
          <w:noProof/>
        </w:rPr>
        <w:drawing>
          <wp:inline distT="0" distB="0" distL="0" distR="0" wp14:anchorId="0E6A2EB4" wp14:editId="1A8E7587">
            <wp:extent cx="1679602" cy="1092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9091" cy="11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859">
        <w:rPr>
          <w:noProof/>
        </w:rPr>
        <w:drawing>
          <wp:inline distT="0" distB="0" distL="0" distR="0" wp14:anchorId="0E6A2EB4" wp14:editId="1A8E7587">
            <wp:extent cx="1679602" cy="109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9091" cy="11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0F" w:rsidRDefault="00C10D0F" w:rsidP="00C10D0F">
      <w:pPr>
        <w:pStyle w:val="NoSpacing"/>
        <w:rPr>
          <w:rFonts w:ascii="Arial" w:hAnsi="Arial" w:cs="Arial"/>
          <w:sz w:val="16"/>
          <w:szCs w:val="16"/>
        </w:rPr>
      </w:pPr>
      <w:r w:rsidRPr="00E326AE">
        <w:rPr>
          <w:rFonts w:ascii="Arial" w:hAnsi="Arial" w:cs="Arial"/>
          <w:sz w:val="16"/>
          <w:szCs w:val="16"/>
        </w:rPr>
        <w:t xml:space="preserve">(Figure 7. Histogram of comparison </w:t>
      </w:r>
      <w:r>
        <w:rPr>
          <w:rFonts w:ascii="Arial" w:hAnsi="Arial" w:cs="Arial"/>
          <w:sz w:val="16"/>
          <w:szCs w:val="16"/>
        </w:rPr>
        <w:t>between</w:t>
      </w:r>
      <w:r w:rsidRPr="00E326AE">
        <w:rPr>
          <w:rFonts w:ascii="Arial" w:hAnsi="Arial" w:cs="Arial"/>
          <w:sz w:val="16"/>
          <w:szCs w:val="16"/>
        </w:rPr>
        <w:t xml:space="preserve"> software to clinician over 3 visits)  </w:t>
      </w:r>
    </w:p>
    <w:p w:rsidR="00C10D0F" w:rsidRDefault="00C10D0F"/>
    <w:p w:rsidR="00C10D0F" w:rsidRDefault="00C10D0F"/>
    <w:p w:rsidR="00C10D0F" w:rsidRDefault="00C10D0F"/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D76DE9" wp14:editId="25A03E17">
                <wp:simplePos x="0" y="0"/>
                <wp:positionH relativeFrom="column">
                  <wp:posOffset>-154581</wp:posOffset>
                </wp:positionH>
                <wp:positionV relativeFrom="paragraph">
                  <wp:posOffset>3644</wp:posOffset>
                </wp:positionV>
                <wp:extent cx="1574528" cy="1398494"/>
                <wp:effectExtent l="0" t="0" r="2603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528" cy="139849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19D06" id="Rectangle 13" o:spid="_x0000_s1026" style="position:absolute;margin-left:-12.15pt;margin-top:.3pt;width:124pt;height:110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" filled="f" strokecolor="#385d8a" strokeweight="2pt"/>
            </w:pict>
          </mc:Fallback>
        </mc:AlternateContent>
      </w: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2   4   6   8   10  </w:t>
      </w:r>
      <w:r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</w:t>
      </w: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12</w:t>
      </w:r>
    </w:p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2       0   0   1   0   0   0</w:t>
      </w:r>
    </w:p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4       0   2   2   2   4   1</w:t>
      </w:r>
    </w:p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6       0   1   3   2   5   0</w:t>
      </w:r>
    </w:p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8       0   0   3   4   5   3</w:t>
      </w:r>
    </w:p>
    <w:p w:rsidR="001C7E63" w:rsidRPr="0065644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10      0   0   3   2   4   0</w:t>
      </w:r>
    </w:p>
    <w:p w:rsidR="001C7E63" w:rsidRPr="005661EE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656443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12      0   1   1   0   4   9</w:t>
      </w:r>
    </w:p>
    <w:p w:rsidR="001C7E6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5661EE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 xml:space="preserve">   </w:t>
      </w:r>
    </w:p>
    <w:p w:rsidR="001C7E63" w:rsidRDefault="001C7E63" w:rsidP="001C7E6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C7E63" w:rsidRPr="001C7E63" w:rsidRDefault="001C7E63" w:rsidP="001C7E6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</w:t>
      </w:r>
      <w:r w:rsidRPr="005661EE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(Figure 8. Matrix of confusion for DMO consensus between clinician and software)</w:t>
      </w:r>
    </w:p>
    <w:p w:rsidR="00C10D0F" w:rsidRDefault="00C10D0F" w:rsidP="001C7E63">
      <w:pPr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:rsidR="001C7E63" w:rsidRDefault="001C7E63" w:rsidP="001C7E63">
      <w:pPr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inline distT="0" distB="0" distL="0" distR="0" wp14:anchorId="4B66D99F" wp14:editId="43B7934F">
            <wp:extent cx="2513374" cy="1486535"/>
            <wp:effectExtent l="0" t="0" r="1270" b="0"/>
            <wp:docPr id="29" name="Picture 2" descr="C:\Users\rosina.zakri\AppData\Local\Microsoft\Windows\INetCache\Content.MSO\80573E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ina.zakri\AppData\Local\Microsoft\Windows\INetCache\Content.MSO\80573E2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31" cy="15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63" w:rsidRDefault="001C7E63" w:rsidP="001C7E63">
      <w:pPr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E839A" wp14:editId="44BB9B43">
                <wp:simplePos x="0" y="0"/>
                <wp:positionH relativeFrom="margin">
                  <wp:posOffset>-27222</wp:posOffset>
                </wp:positionH>
                <wp:positionV relativeFrom="paragraph">
                  <wp:posOffset>262642</wp:posOffset>
                </wp:positionV>
                <wp:extent cx="5621572" cy="1943100"/>
                <wp:effectExtent l="0" t="0" r="1778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572" cy="1943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A1297" id="Rectangle 58" o:spid="_x0000_s1026" style="position:absolute;margin-left:-2.15pt;margin-top:20.7pt;width:442.65pt;height:153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" filled="f" strokecolor="#385d8a" strokeweight="2pt">
                <w10:wrap anchorx="margin"/>
              </v:rect>
            </w:pict>
          </mc:Fallback>
        </mc:AlternateContent>
      </w:r>
      <w:r w:rsidRPr="003904B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3904BA">
        <w:rPr>
          <w:rFonts w:ascii="Arial" w:hAnsi="Arial" w:cs="Arial"/>
          <w:sz w:val="16"/>
          <w:szCs w:val="16"/>
          <w:shd w:val="clear" w:color="auto" w:fill="FFFFFF"/>
        </w:rPr>
        <w:t xml:space="preserve">(Figure </w:t>
      </w:r>
      <w:r>
        <w:rPr>
          <w:rFonts w:ascii="Arial" w:hAnsi="Arial" w:cs="Arial"/>
          <w:sz w:val="16"/>
          <w:szCs w:val="16"/>
          <w:shd w:val="clear" w:color="auto" w:fill="FFFFFF"/>
        </w:rPr>
        <w:t>9</w:t>
      </w:r>
      <w:r w:rsidRPr="003904BA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Histogram for </w:t>
      </w:r>
      <w:r w:rsidRPr="003904BA">
        <w:rPr>
          <w:rFonts w:ascii="Arial" w:hAnsi="Arial" w:cs="Arial"/>
          <w:sz w:val="16"/>
          <w:szCs w:val="16"/>
          <w:shd w:val="clear" w:color="auto" w:fill="FFFFFF"/>
        </w:rPr>
        <w:t>non</w:t>
      </w:r>
      <w:r>
        <w:rPr>
          <w:rFonts w:ascii="Arial" w:hAnsi="Arial" w:cs="Arial"/>
          <w:sz w:val="16"/>
          <w:szCs w:val="16"/>
          <w:shd w:val="clear" w:color="auto" w:fill="FFFFFF"/>
        </w:rPr>
        <w:t>-C</w:t>
      </w:r>
      <w:r w:rsidRPr="003904BA">
        <w:rPr>
          <w:rFonts w:ascii="Arial" w:hAnsi="Arial" w:cs="Arial"/>
          <w:sz w:val="16"/>
          <w:szCs w:val="16"/>
          <w:shd w:val="clear" w:color="auto" w:fill="FFFFFF"/>
        </w:rPr>
        <w:t>aucasians)</w:t>
      </w:r>
    </w:p>
    <w:p w:rsidR="001C7E63" w:rsidRPr="001C7E63" w:rsidRDefault="001C7E63" w:rsidP="001C7E63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7BCDB90" wp14:editId="133FEACC">
            <wp:extent cx="2686050" cy="1755140"/>
            <wp:effectExtent l="0" t="0" r="0" b="1651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004219D2-564B-45D3-B00B-33E465261E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E7C72" wp14:editId="7188F57B">
            <wp:extent cx="2906202" cy="1730375"/>
            <wp:effectExtent l="0" t="0" r="8890" b="3175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4EBC1F7C-185A-4315-A0E5-EB6516E99D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t xml:space="preserve">Accuracy EKHUFT 86%     </w:t>
      </w:r>
      <w:r>
        <w:tab/>
      </w:r>
      <w:r>
        <w:tab/>
      </w:r>
      <w:r>
        <w:tab/>
        <w:t>Accuracy GSTT: 85%</w:t>
      </w:r>
    </w:p>
    <w:p w:rsidR="001C7E63" w:rsidRPr="003904BA" w:rsidRDefault="001C7E63" w:rsidP="001C7E63">
      <w:pPr>
        <w:pStyle w:val="NoSpacing"/>
        <w:rPr>
          <w:sz w:val="16"/>
          <w:szCs w:val="16"/>
        </w:rPr>
      </w:pPr>
      <w:r w:rsidRPr="003904BA">
        <w:rPr>
          <w:sz w:val="16"/>
          <w:szCs w:val="16"/>
        </w:rPr>
        <w:t>(Figure 1</w:t>
      </w:r>
      <w:r>
        <w:rPr>
          <w:sz w:val="16"/>
          <w:szCs w:val="16"/>
        </w:rPr>
        <w:t>0</w:t>
      </w:r>
      <w:r w:rsidRPr="003904BA">
        <w:rPr>
          <w:sz w:val="16"/>
          <w:szCs w:val="16"/>
        </w:rPr>
        <w:t>. Histogram of difference to compare results from two different Trusts)</w:t>
      </w:r>
    </w:p>
    <w:p w:rsidR="001C7E63" w:rsidRDefault="001C7E63" w:rsidP="001C7E63">
      <w:pPr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763A8F" wp14:editId="61B17369">
                <wp:simplePos x="0" y="0"/>
                <wp:positionH relativeFrom="column">
                  <wp:posOffset>0</wp:posOffset>
                </wp:positionH>
                <wp:positionV relativeFrom="paragraph">
                  <wp:posOffset>298174</wp:posOffset>
                </wp:positionV>
                <wp:extent cx="5422973" cy="1744231"/>
                <wp:effectExtent l="0" t="0" r="25400" b="279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73" cy="174423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B5EC2" id="Rectangle 43" o:spid="_x0000_s1026" style="position:absolute;margin-left:0;margin-top:23.5pt;width:427pt;height:137.3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" filled="f" strokecolor="#385d8a" strokeweight="2pt"/>
            </w:pict>
          </mc:Fallback>
        </mc:AlternateContent>
      </w:r>
    </w:p>
    <w:p w:rsidR="001C7E63" w:rsidRDefault="001C7E63" w:rsidP="001C7E63">
      <w:r w:rsidRPr="00702CA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B4A2B5" wp14:editId="46D2E533">
            <wp:extent cx="2536466" cy="1725433"/>
            <wp:effectExtent l="0" t="0" r="16510" b="8255"/>
            <wp:docPr id="61" name="Chart 61">
              <a:extLst xmlns:a="http://schemas.openxmlformats.org/drawingml/2006/main">
                <a:ext uri="{FF2B5EF4-FFF2-40B4-BE49-F238E27FC236}">
                  <a16:creationId xmlns:a16="http://schemas.microsoft.com/office/drawing/2014/main" id="{842499C9-4477-43C2-A315-FA811A37F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702CA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E1A9FD" wp14:editId="0A43283A">
            <wp:extent cx="2806811" cy="1701579"/>
            <wp:effectExtent l="0" t="0" r="12700" b="13335"/>
            <wp:docPr id="60" name="Chart 60">
              <a:extLst xmlns:a="http://schemas.openxmlformats.org/drawingml/2006/main">
                <a:ext uri="{FF2B5EF4-FFF2-40B4-BE49-F238E27FC236}">
                  <a16:creationId xmlns:a16="http://schemas.microsoft.com/office/drawing/2014/main" id="{8F478E54-7C49-43A9-A532-9CA954B012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C7E63" w:rsidRPr="00052157" w:rsidRDefault="001C7E63" w:rsidP="001C7E63">
      <w:pPr>
        <w:pStyle w:val="NoSpacing"/>
        <w:rPr>
          <w:rFonts w:ascii="Arial" w:hAnsi="Arial" w:cs="Arial"/>
          <w:sz w:val="16"/>
          <w:szCs w:val="16"/>
        </w:rPr>
      </w:pPr>
      <w:r w:rsidRPr="00052157">
        <w:rPr>
          <w:rFonts w:ascii="Arial" w:hAnsi="Arial" w:cs="Arial"/>
          <w:sz w:val="16"/>
          <w:szCs w:val="16"/>
        </w:rPr>
        <w:t>(Figure 1</w:t>
      </w:r>
      <w:r>
        <w:rPr>
          <w:rFonts w:ascii="Arial" w:hAnsi="Arial" w:cs="Arial"/>
          <w:sz w:val="16"/>
          <w:szCs w:val="16"/>
        </w:rPr>
        <w:t>1</w:t>
      </w:r>
      <w:r w:rsidRPr="00052157">
        <w:rPr>
          <w:rFonts w:ascii="Arial" w:hAnsi="Arial" w:cs="Arial"/>
          <w:sz w:val="16"/>
          <w:szCs w:val="16"/>
        </w:rPr>
        <w:t>. Histogram of difference comparing NICE to clinician and software)</w:t>
      </w:r>
    </w:p>
    <w:p w:rsidR="001C7E63" w:rsidRPr="00702CA6" w:rsidRDefault="001C7E63" w:rsidP="001C7E63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Clinician </w:t>
      </w:r>
      <w:r w:rsidRPr="00702CA6">
        <w:rPr>
          <w:rFonts w:ascii="Arial" w:hAnsi="Arial" w:cs="Arial"/>
          <w:sz w:val="20"/>
          <w:szCs w:val="20"/>
        </w:rPr>
        <w:t>Acc</w:t>
      </w:r>
      <w:r>
        <w:rPr>
          <w:rFonts w:ascii="Arial" w:hAnsi="Arial" w:cs="Arial"/>
          <w:sz w:val="20"/>
          <w:szCs w:val="20"/>
        </w:rPr>
        <w:t>uracy</w:t>
      </w:r>
      <w:r w:rsidRPr="00702CA6">
        <w:rPr>
          <w:rFonts w:ascii="Arial" w:hAnsi="Arial" w:cs="Arial"/>
          <w:sz w:val="20"/>
          <w:szCs w:val="20"/>
        </w:rPr>
        <w:t>: 94%</w:t>
      </w:r>
      <w:r>
        <w:rPr>
          <w:rFonts w:ascii="Arial" w:hAnsi="Arial" w:cs="Arial"/>
          <w:sz w:val="20"/>
          <w:szCs w:val="20"/>
        </w:rPr>
        <w:t>, kappa: 0.8, skew 0.84, kurtosis: 3.41</w:t>
      </w:r>
    </w:p>
    <w:p w:rsidR="001C7E63" w:rsidRPr="002612FA" w:rsidRDefault="001C7E63" w:rsidP="001C7E6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Macusoft</w:t>
      </w:r>
      <w:proofErr w:type="spellEnd"/>
      <w:r>
        <w:rPr>
          <w:rFonts w:ascii="Arial" w:hAnsi="Arial" w:cs="Arial"/>
          <w:sz w:val="20"/>
          <w:szCs w:val="20"/>
        </w:rPr>
        <w:t xml:space="preserve"> Accuracy:</w:t>
      </w:r>
      <w:r w:rsidRPr="00702CA6">
        <w:rPr>
          <w:rFonts w:ascii="Arial" w:hAnsi="Arial" w:cs="Arial"/>
          <w:sz w:val="20"/>
          <w:szCs w:val="20"/>
        </w:rPr>
        <w:t>81</w:t>
      </w:r>
      <w:proofErr w:type="gramStart"/>
      <w:r w:rsidRPr="00702CA6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 kappa</w:t>
      </w:r>
      <w:proofErr w:type="gramEnd"/>
      <w:r>
        <w:rPr>
          <w:rFonts w:ascii="Arial" w:hAnsi="Arial" w:cs="Arial"/>
          <w:sz w:val="20"/>
          <w:szCs w:val="20"/>
        </w:rPr>
        <w:t>:.0.9 Skew 0.95, Kurtosis: 3.42</w:t>
      </w:r>
    </w:p>
    <w:p w:rsidR="001C7E63" w:rsidRDefault="001C7E63" w:rsidP="001C7E63">
      <w:r w:rsidRPr="001976A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411EE3B" wp14:editId="3EED070E">
            <wp:extent cx="2143706" cy="1677725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1315" cy="170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63" w:rsidRPr="005A60E7" w:rsidRDefault="001C7E63" w:rsidP="001C7E63">
      <w:pPr>
        <w:jc w:val="both"/>
        <w:rPr>
          <w:rFonts w:cstheme="minorHAnsi"/>
          <w:sz w:val="16"/>
          <w:szCs w:val="16"/>
        </w:rPr>
      </w:pPr>
      <w:r w:rsidRPr="005A60E7">
        <w:rPr>
          <w:rFonts w:cstheme="minorHAnsi"/>
          <w:sz w:val="16"/>
          <w:szCs w:val="16"/>
        </w:rPr>
        <w:t>(Figure 1</w:t>
      </w:r>
      <w:r>
        <w:rPr>
          <w:rFonts w:cstheme="minorHAnsi"/>
          <w:sz w:val="16"/>
          <w:szCs w:val="16"/>
        </w:rPr>
        <w:t>2</w:t>
      </w:r>
      <w:bookmarkStart w:id="0" w:name="_GoBack"/>
      <w:bookmarkEnd w:id="0"/>
      <w:r w:rsidRPr="005A60E7">
        <w:rPr>
          <w:rFonts w:cstheme="minorHAnsi"/>
          <w:sz w:val="16"/>
          <w:szCs w:val="16"/>
        </w:rPr>
        <w:t>. Bald-Altman plot he bald-</w:t>
      </w:r>
      <w:proofErr w:type="spellStart"/>
      <w:r w:rsidRPr="005A60E7">
        <w:rPr>
          <w:rFonts w:cstheme="minorHAnsi"/>
          <w:sz w:val="16"/>
          <w:szCs w:val="16"/>
        </w:rPr>
        <w:t>Alman</w:t>
      </w:r>
      <w:proofErr w:type="spellEnd"/>
      <w:r w:rsidRPr="005A60E7">
        <w:rPr>
          <w:rFonts w:cstheme="minorHAnsi"/>
          <w:sz w:val="16"/>
          <w:szCs w:val="16"/>
        </w:rPr>
        <w:t xml:space="preserve"> plot confirming no overall bias)</w:t>
      </w:r>
    </w:p>
    <w:p w:rsidR="001C7E63" w:rsidRDefault="001C7E63" w:rsidP="001C7E63"/>
    <w:sectPr w:rsidR="001C7E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0F"/>
    <w:rsid w:val="001C7E63"/>
    <w:rsid w:val="00AF2585"/>
    <w:rsid w:val="00B83DE3"/>
    <w:rsid w:val="00C1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D6A3C"/>
  <w15:chartTrackingRefBased/>
  <w15:docId w15:val="{0CAA77D1-B5EB-448A-857B-75F3DB84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10D0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C10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8.png"/><Relationship Id="rId17" Type="http://schemas.openxmlformats.org/officeDocument/2006/relationships/chart" Target="charts/chart4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Total</a:t>
            </a:r>
            <a:r>
              <a:rPr lang="en-GB" sz="1000" baseline="0"/>
              <a:t> comparison between clinician and software</a:t>
            </a:r>
            <a:r>
              <a:rPr lang="en-GB" baseline="0"/>
              <a:t> </a:t>
            </a:r>
            <a:endParaRPr lang="en-GB"/>
          </a:p>
        </c:rich>
      </c:tx>
      <c:layout>
        <c:manualLayout>
          <c:xMode val="edge"/>
          <c:yMode val="edge"/>
          <c:x val="0.14842635333613091"/>
          <c:y val="7.94281175536139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Sheet1!$E$5:$E$21</c:f>
              <c:numCache>
                <c:formatCode>General</c:formatCode>
                <c:ptCount val="17"/>
                <c:pt idx="0">
                  <c:v>-8</c:v>
                </c:pt>
                <c:pt idx="1">
                  <c:v>-7</c:v>
                </c:pt>
                <c:pt idx="2">
                  <c:v>-6</c:v>
                </c:pt>
                <c:pt idx="3">
                  <c:v>-5</c:v>
                </c:pt>
                <c:pt idx="4">
                  <c:v>-4</c:v>
                </c:pt>
                <c:pt idx="5">
                  <c:v>-3</c:v>
                </c:pt>
                <c:pt idx="6">
                  <c:v>-2</c:v>
                </c:pt>
                <c:pt idx="7">
                  <c:v>-1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5</c:v>
                </c:pt>
                <c:pt idx="14">
                  <c:v>6</c:v>
                </c:pt>
                <c:pt idx="15">
                  <c:v>7</c:v>
                </c:pt>
                <c:pt idx="16">
                  <c:v>8</c:v>
                </c:pt>
              </c:numCache>
            </c:numRef>
          </c:cat>
          <c:val>
            <c:numRef>
              <c:f>Sheet1!$F$5:$F$21</c:f>
              <c:numCache>
                <c:formatCode>General</c:formatCode>
                <c:ptCount val="17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8</c:v>
                </c:pt>
                <c:pt idx="5">
                  <c:v>1</c:v>
                </c:pt>
                <c:pt idx="6">
                  <c:v>60</c:v>
                </c:pt>
                <c:pt idx="7">
                  <c:v>1</c:v>
                </c:pt>
                <c:pt idx="8">
                  <c:v>160</c:v>
                </c:pt>
                <c:pt idx="9">
                  <c:v>4</c:v>
                </c:pt>
                <c:pt idx="10">
                  <c:v>83</c:v>
                </c:pt>
                <c:pt idx="11">
                  <c:v>0</c:v>
                </c:pt>
                <c:pt idx="12">
                  <c:v>27</c:v>
                </c:pt>
                <c:pt idx="13">
                  <c:v>0</c:v>
                </c:pt>
                <c:pt idx="14">
                  <c:v>8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8-49A6-89FD-3520ACB3D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3396664"/>
        <c:axId val="643399616"/>
      </c:barChart>
      <c:catAx>
        <c:axId val="64339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399616"/>
        <c:crosses val="autoZero"/>
        <c:auto val="1"/>
        <c:lblAlgn val="ctr"/>
        <c:lblOffset val="100"/>
        <c:noMultiLvlLbl val="0"/>
      </c:catAx>
      <c:valAx>
        <c:axId val="64339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39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Total</a:t>
            </a:r>
            <a:r>
              <a:rPr lang="en-GB" sz="1000" baseline="0"/>
              <a:t> consensus EKHUFT</a:t>
            </a:r>
            <a:endParaRPr lang="en-GB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'Total '!$I$5:$I$17</c:f>
              <c:numCache>
                <c:formatCode>General</c:formatCode>
                <c:ptCount val="13"/>
                <c:pt idx="0">
                  <c:v>-6</c:v>
                </c:pt>
                <c:pt idx="1">
                  <c:v>-5</c:v>
                </c:pt>
                <c:pt idx="2">
                  <c:v>-4</c:v>
                </c:pt>
                <c:pt idx="3">
                  <c:v>-3</c:v>
                </c:pt>
                <c:pt idx="4">
                  <c:v>-2</c:v>
                </c:pt>
                <c:pt idx="5">
                  <c:v>-1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4</c:v>
                </c:pt>
                <c:pt idx="11">
                  <c:v>5</c:v>
                </c:pt>
                <c:pt idx="12">
                  <c:v>6</c:v>
                </c:pt>
              </c:numCache>
            </c:numRef>
          </c:cat>
          <c:val>
            <c:numRef>
              <c:f>'Total '!$J$5:$J$17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  <c:pt idx="5">
                  <c:v>2</c:v>
                </c:pt>
                <c:pt idx="6">
                  <c:v>47</c:v>
                </c:pt>
                <c:pt idx="7">
                  <c:v>0</c:v>
                </c:pt>
                <c:pt idx="8">
                  <c:v>28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B6-42BD-B4E4-9A4E2A311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3862895"/>
        <c:axId val="2037688271"/>
      </c:barChart>
      <c:catAx>
        <c:axId val="1833862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7688271"/>
        <c:crosses val="autoZero"/>
        <c:auto val="1"/>
        <c:lblAlgn val="ctr"/>
        <c:lblOffset val="100"/>
        <c:noMultiLvlLbl val="0"/>
      </c:catAx>
      <c:valAx>
        <c:axId val="2037688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38628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Total</a:t>
            </a:r>
            <a:r>
              <a:rPr lang="en-GB" sz="1000" baseline="0"/>
              <a:t> comparison between clinician and software</a:t>
            </a:r>
            <a:r>
              <a:rPr lang="en-GB" baseline="0"/>
              <a:t> </a:t>
            </a:r>
            <a:endParaRPr lang="en-GB"/>
          </a:p>
        </c:rich>
      </c:tx>
      <c:layout>
        <c:manualLayout>
          <c:xMode val="edge"/>
          <c:yMode val="edge"/>
          <c:x val="0.14842635333613091"/>
          <c:y val="7.94281175536139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Sheet1!$E$5:$E$21</c:f>
              <c:numCache>
                <c:formatCode>General</c:formatCode>
                <c:ptCount val="17"/>
                <c:pt idx="0">
                  <c:v>-8</c:v>
                </c:pt>
                <c:pt idx="1">
                  <c:v>-7</c:v>
                </c:pt>
                <c:pt idx="2">
                  <c:v>-6</c:v>
                </c:pt>
                <c:pt idx="3">
                  <c:v>-5</c:v>
                </c:pt>
                <c:pt idx="4">
                  <c:v>-4</c:v>
                </c:pt>
                <c:pt idx="5">
                  <c:v>-3</c:v>
                </c:pt>
                <c:pt idx="6">
                  <c:v>-2</c:v>
                </c:pt>
                <c:pt idx="7">
                  <c:v>-1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3</c:v>
                </c:pt>
                <c:pt idx="12">
                  <c:v>4</c:v>
                </c:pt>
                <c:pt idx="13">
                  <c:v>5</c:v>
                </c:pt>
                <c:pt idx="14">
                  <c:v>6</c:v>
                </c:pt>
                <c:pt idx="15">
                  <c:v>7</c:v>
                </c:pt>
                <c:pt idx="16">
                  <c:v>8</c:v>
                </c:pt>
              </c:numCache>
            </c:numRef>
          </c:cat>
          <c:val>
            <c:numRef>
              <c:f>Sheet1!$F$5:$F$21</c:f>
              <c:numCache>
                <c:formatCode>General</c:formatCode>
                <c:ptCount val="17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8</c:v>
                </c:pt>
                <c:pt idx="5">
                  <c:v>1</c:v>
                </c:pt>
                <c:pt idx="6">
                  <c:v>60</c:v>
                </c:pt>
                <c:pt idx="7">
                  <c:v>1</c:v>
                </c:pt>
                <c:pt idx="8">
                  <c:v>160</c:v>
                </c:pt>
                <c:pt idx="9">
                  <c:v>4</c:v>
                </c:pt>
                <c:pt idx="10">
                  <c:v>83</c:v>
                </c:pt>
                <c:pt idx="11">
                  <c:v>0</c:v>
                </c:pt>
                <c:pt idx="12">
                  <c:v>27</c:v>
                </c:pt>
                <c:pt idx="13">
                  <c:v>0</c:v>
                </c:pt>
                <c:pt idx="14">
                  <c:v>8</c:v>
                </c:pt>
                <c:pt idx="15">
                  <c:v>0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C4-4CDF-A5CB-8667077E9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3396664"/>
        <c:axId val="643399616"/>
      </c:barChart>
      <c:catAx>
        <c:axId val="64339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399616"/>
        <c:crosses val="autoZero"/>
        <c:auto val="1"/>
        <c:lblAlgn val="ctr"/>
        <c:lblOffset val="100"/>
        <c:noMultiLvlLbl val="0"/>
      </c:catAx>
      <c:valAx>
        <c:axId val="64339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39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Clinician</a:t>
            </a:r>
            <a:r>
              <a:rPr lang="en-GB" baseline="0"/>
              <a:t> compared to NICE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Sheet19!$H$9:$H$19</c:f>
              <c:numCache>
                <c:formatCode>General</c:formatCode>
                <c:ptCount val="11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  <c:pt idx="10">
                  <c:v>6</c:v>
                </c:pt>
              </c:numCache>
            </c:numRef>
          </c:cat>
          <c:val>
            <c:numRef>
              <c:f>Sheet19!$I$9:$I$19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24</c:v>
                </c:pt>
                <c:pt idx="3">
                  <c:v>1</c:v>
                </c:pt>
                <c:pt idx="4">
                  <c:v>62</c:v>
                </c:pt>
                <c:pt idx="5">
                  <c:v>2</c:v>
                </c:pt>
                <c:pt idx="6">
                  <c:v>4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B6-4FB9-83A2-B56D3E125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915520"/>
        <c:axId val="653924048"/>
      </c:barChart>
      <c:catAx>
        <c:axId val="6539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3924048"/>
        <c:crosses val="autoZero"/>
        <c:auto val="1"/>
        <c:lblAlgn val="ctr"/>
        <c:lblOffset val="100"/>
        <c:noMultiLvlLbl val="0"/>
      </c:catAx>
      <c:valAx>
        <c:axId val="65392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391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Macusoft</a:t>
            </a:r>
            <a:r>
              <a:rPr lang="en-GB" baseline="0"/>
              <a:t> compared to NICE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Sheet21!$G$154:$G$162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cat>
          <c:val>
            <c:numRef>
              <c:f>Sheet21!$H$154:$H$162</c:f>
              <c:numCache>
                <c:formatCode>General</c:formatCode>
                <c:ptCount val="9"/>
                <c:pt idx="0">
                  <c:v>9</c:v>
                </c:pt>
                <c:pt idx="1">
                  <c:v>0</c:v>
                </c:pt>
                <c:pt idx="2">
                  <c:v>3</c:v>
                </c:pt>
                <c:pt idx="3">
                  <c:v>2</c:v>
                </c:pt>
                <c:pt idx="4">
                  <c:v>69</c:v>
                </c:pt>
                <c:pt idx="5">
                  <c:v>0</c:v>
                </c:pt>
                <c:pt idx="6">
                  <c:v>6</c:v>
                </c:pt>
                <c:pt idx="7">
                  <c:v>4</c:v>
                </c:pt>
                <c:pt idx="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50-4E99-8880-B7D772218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1862480"/>
        <c:axId val="641861168"/>
      </c:barChart>
      <c:catAx>
        <c:axId val="64186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1861168"/>
        <c:crosses val="autoZero"/>
        <c:auto val="1"/>
        <c:lblAlgn val="ctr"/>
        <c:lblOffset val="100"/>
        <c:noMultiLvlLbl val="0"/>
      </c:catAx>
      <c:valAx>
        <c:axId val="64186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186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EKHUFT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 Zakri</dc:creator>
  <cp:keywords/>
  <dc:description/>
  <cp:lastModifiedBy>Rosina Zakri</cp:lastModifiedBy>
  <cp:revision>1</cp:revision>
  <dcterms:created xsi:type="dcterms:W3CDTF">2026-06-08T18:28:00Z</dcterms:created>
  <dcterms:modified xsi:type="dcterms:W3CDTF">2026-06-08T19:23:00Z</dcterms:modified>
</cp:coreProperties>
</file>