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144DF" w14:textId="02AD3FE0" w:rsidR="001E7FD8" w:rsidRPr="00701B53" w:rsidRDefault="00701B53" w:rsidP="00701B53">
      <w:pPr>
        <w:spacing w:line="480" w:lineRule="auto"/>
        <w:jc w:val="both"/>
        <w:rPr>
          <w:rFonts w:ascii="Times New Roman" w:hAnsi="Times New Roman" w:cs="Times New Roman"/>
          <w:b/>
          <w:bCs/>
          <w:sz w:val="28"/>
          <w:szCs w:val="28"/>
          <w:lang w:val="en-US"/>
        </w:rPr>
      </w:pPr>
      <w:r w:rsidRPr="00701B53">
        <w:rPr>
          <w:rFonts w:ascii="Times New Roman" w:hAnsi="Times New Roman" w:cs="Times New Roman"/>
          <w:b/>
          <w:bCs/>
          <w:sz w:val="28"/>
          <w:szCs w:val="28"/>
          <w:lang w:val="en-US"/>
        </w:rPr>
        <w:t>Additional file 1. Sensitivity analysis comparing complete case analysis and KNN imputation</w:t>
      </w:r>
    </w:p>
    <w:p w14:paraId="5B83C908" w14:textId="7E134883" w:rsidR="00701B53" w:rsidRDefault="00701B53" w:rsidP="00701B53">
      <w:pPr>
        <w:spacing w:line="480" w:lineRule="auto"/>
        <w:jc w:val="both"/>
        <w:rPr>
          <w:rFonts w:ascii="Times New Roman" w:hAnsi="Times New Roman" w:cs="Times New Roman"/>
          <w:lang w:val="en-US"/>
        </w:rPr>
      </w:pPr>
      <w:r w:rsidRPr="006373D4">
        <w:rPr>
          <w:rFonts w:ascii="Times New Roman" w:hAnsi="Times New Roman" w:cs="Times New Roman"/>
          <w:b/>
          <w:bCs/>
          <w:lang w:val="en-US"/>
        </w:rPr>
        <w:t>Title:</w:t>
      </w:r>
      <w:r w:rsidRPr="00701B53">
        <w:rPr>
          <w:rFonts w:ascii="Times New Roman" w:hAnsi="Times New Roman" w:cs="Times New Roman"/>
          <w:lang w:val="en-US"/>
        </w:rPr>
        <w:t xml:space="preserve"> Comparison of negative binomial regression estimates for factors associated with daily post-COVID health </w:t>
      </w:r>
      <w:r w:rsidR="003A758F" w:rsidRPr="00701B53">
        <w:rPr>
          <w:rFonts w:ascii="Times New Roman" w:hAnsi="Times New Roman" w:cs="Times New Roman"/>
          <w:lang w:val="en-US"/>
        </w:rPr>
        <w:t>complaints</w:t>
      </w:r>
      <w:r w:rsidRPr="00701B53">
        <w:rPr>
          <w:rFonts w:ascii="Times New Roman" w:hAnsi="Times New Roman" w:cs="Times New Roman"/>
          <w:lang w:val="en-US"/>
        </w:rPr>
        <w:t xml:space="preserve"> in diabetic (complete case analysis, n=412 vs. KNN imputation, k=5, n=420).</w:t>
      </w:r>
    </w:p>
    <w:p w14:paraId="47648337" w14:textId="55137619" w:rsidR="00701B53" w:rsidRDefault="00701B53" w:rsidP="00701B53">
      <w:pPr>
        <w:spacing w:line="480" w:lineRule="auto"/>
        <w:jc w:val="both"/>
        <w:rPr>
          <w:rFonts w:ascii="Times New Roman" w:hAnsi="Times New Roman" w:cs="Times New Roman"/>
          <w:lang w:val="en-US"/>
        </w:rPr>
      </w:pPr>
      <w:r w:rsidRPr="006373D4">
        <w:rPr>
          <w:rFonts w:ascii="Times New Roman" w:hAnsi="Times New Roman" w:cs="Times New Roman"/>
          <w:b/>
          <w:bCs/>
          <w:lang w:val="en-US"/>
        </w:rPr>
        <w:t>Rationale:</w:t>
      </w:r>
      <w:r>
        <w:rPr>
          <w:rFonts w:ascii="Times New Roman" w:hAnsi="Times New Roman" w:cs="Times New Roman"/>
          <w:lang w:val="en-US"/>
        </w:rPr>
        <w:t xml:space="preserve"> Missing data were minimal (&lt;2% overall, with no single variable exceeding 5% missingness). The primary analysis used complete case analysis (n-412). To assess the robustness of our estimates, we performed a sensitivity analysis using K-nearest </w:t>
      </w:r>
      <w:proofErr w:type="spellStart"/>
      <w:proofErr w:type="gramStart"/>
      <w:r>
        <w:rPr>
          <w:rFonts w:ascii="Times New Roman" w:hAnsi="Times New Roman" w:cs="Times New Roman"/>
          <w:lang w:val="en-US"/>
        </w:rPr>
        <w:t>neighbours</w:t>
      </w:r>
      <w:proofErr w:type="spellEnd"/>
      <w:proofErr w:type="gramEnd"/>
      <w:r>
        <w:rPr>
          <w:rFonts w:ascii="Times New Roman" w:hAnsi="Times New Roman" w:cs="Times New Roman"/>
          <w:lang w:val="en-US"/>
        </w:rPr>
        <w:t xml:space="preserve"> imputation (k=5) to impute missing values for all 420 participants. The tables below show that both methods yielded nearly identical incidence rate ratio (IRRs) and 95% confidence intervals (Cis), confirming that the minimal missing data did not bias our findings.</w:t>
      </w:r>
    </w:p>
    <w:p w14:paraId="67F65C4A" w14:textId="5D687C44" w:rsidR="00701B53" w:rsidRPr="0097583E" w:rsidRDefault="0097583E" w:rsidP="0097583E">
      <w:pPr>
        <w:spacing w:after="0" w:line="480" w:lineRule="auto"/>
        <w:jc w:val="both"/>
        <w:rPr>
          <w:rFonts w:ascii="Times New Roman" w:hAnsi="Times New Roman" w:cs="Times New Roman"/>
          <w:b/>
          <w:bCs/>
          <w:lang w:val="en-US"/>
        </w:rPr>
      </w:pPr>
      <w:r w:rsidRPr="0097583E">
        <w:rPr>
          <w:rFonts w:ascii="Times New Roman" w:hAnsi="Times New Roman" w:cs="Times New Roman"/>
          <w:b/>
          <w:bCs/>
          <w:lang w:val="en-US"/>
        </w:rPr>
        <w:t>Table S1. Comparison of IRR (95% CI) for total health complaints (all 25 items)</w:t>
      </w:r>
    </w:p>
    <w:tbl>
      <w:tblPr>
        <w:tblW w:w="0" w:type="auto"/>
        <w:tblLook w:val="04A0" w:firstRow="1" w:lastRow="0" w:firstColumn="1" w:lastColumn="0" w:noHBand="0" w:noVBand="1"/>
      </w:tblPr>
      <w:tblGrid>
        <w:gridCol w:w="3828"/>
        <w:gridCol w:w="1842"/>
        <w:gridCol w:w="2268"/>
      </w:tblGrid>
      <w:tr w:rsidR="0097583E" w:rsidRPr="0097583E" w14:paraId="10B9955B" w14:textId="556832BB" w:rsidTr="0097583E">
        <w:trPr>
          <w:trHeight w:val="423"/>
        </w:trPr>
        <w:tc>
          <w:tcPr>
            <w:tcW w:w="3828" w:type="dxa"/>
            <w:tcBorders>
              <w:top w:val="single" w:sz="4" w:space="0" w:color="auto"/>
              <w:bottom w:val="single" w:sz="4" w:space="0" w:color="auto"/>
            </w:tcBorders>
            <w:noWrap/>
            <w:vAlign w:val="center"/>
          </w:tcPr>
          <w:p w14:paraId="0DAB9C7A" w14:textId="77777777" w:rsidR="0097583E" w:rsidRPr="0097583E" w:rsidRDefault="0097583E" w:rsidP="0097583E">
            <w:pPr>
              <w:spacing w:after="0" w:line="276"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Variable</w:t>
            </w:r>
          </w:p>
        </w:tc>
        <w:tc>
          <w:tcPr>
            <w:tcW w:w="1842" w:type="dxa"/>
            <w:tcBorders>
              <w:top w:val="single" w:sz="4" w:space="0" w:color="auto"/>
              <w:bottom w:val="single" w:sz="4" w:space="0" w:color="auto"/>
            </w:tcBorders>
            <w:vAlign w:val="center"/>
          </w:tcPr>
          <w:p w14:paraId="61EE736A" w14:textId="77777777" w:rsidR="0097583E" w:rsidRDefault="0097583E" w:rsidP="0097583E">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 xml:space="preserve">Complete case </w:t>
            </w:r>
          </w:p>
          <w:p w14:paraId="63F3881C" w14:textId="77A51CE6" w:rsidR="0097583E" w:rsidRPr="0097583E" w:rsidRDefault="0097583E" w:rsidP="0097583E">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(n=412)</w:t>
            </w:r>
          </w:p>
        </w:tc>
        <w:tc>
          <w:tcPr>
            <w:tcW w:w="2268" w:type="dxa"/>
            <w:tcBorders>
              <w:top w:val="single" w:sz="4" w:space="0" w:color="auto"/>
              <w:bottom w:val="single" w:sz="4" w:space="0" w:color="auto"/>
            </w:tcBorders>
            <w:vAlign w:val="center"/>
          </w:tcPr>
          <w:p w14:paraId="05F7779E" w14:textId="77777777" w:rsidR="0097583E" w:rsidRDefault="0097583E" w:rsidP="0097583E">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KNN imputation</w:t>
            </w:r>
          </w:p>
          <w:p w14:paraId="196F0C66" w14:textId="102A9D5B" w:rsidR="0097583E" w:rsidRPr="0097583E" w:rsidRDefault="0097583E" w:rsidP="0097583E">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(n=420)</w:t>
            </w:r>
          </w:p>
        </w:tc>
      </w:tr>
      <w:tr w:rsidR="0097583E" w:rsidRPr="0097583E" w14:paraId="0A8F41E5" w14:textId="543B5E13" w:rsidTr="0097583E">
        <w:trPr>
          <w:trHeight w:val="224"/>
        </w:trPr>
        <w:tc>
          <w:tcPr>
            <w:tcW w:w="3828" w:type="dxa"/>
            <w:tcBorders>
              <w:top w:val="single" w:sz="4" w:space="0" w:color="auto"/>
            </w:tcBorders>
            <w:noWrap/>
            <w:vAlign w:val="center"/>
          </w:tcPr>
          <w:p w14:paraId="3AA38F36" w14:textId="63558140" w:rsidR="0097583E" w:rsidRPr="0097583E" w:rsidRDefault="0097583E" w:rsidP="0097583E">
            <w:pPr>
              <w:spacing w:line="360" w:lineRule="auto"/>
              <w:rPr>
                <w:rFonts w:ascii="Times New Roman" w:hAnsi="Times New Roman" w:cs="Times New Roman"/>
                <w:b/>
                <w:color w:val="000000"/>
                <w:sz w:val="22"/>
                <w:szCs w:val="22"/>
                <w:vertAlign w:val="superscript"/>
                <w:lang w:val="en-GB"/>
              </w:rPr>
            </w:pPr>
            <w:r>
              <w:rPr>
                <w:rFonts w:ascii="Times New Roman" w:hAnsi="Times New Roman" w:cs="Times New Roman"/>
                <w:b/>
                <w:color w:val="000000"/>
                <w:sz w:val="22"/>
                <w:szCs w:val="22"/>
                <w:lang w:val="en-GB"/>
              </w:rPr>
              <w:t>Vaccination status (ref: vaccination before infection)</w:t>
            </w:r>
          </w:p>
        </w:tc>
        <w:tc>
          <w:tcPr>
            <w:tcW w:w="1842" w:type="dxa"/>
            <w:tcBorders>
              <w:top w:val="single" w:sz="4" w:space="0" w:color="auto"/>
            </w:tcBorders>
            <w:vAlign w:val="center"/>
          </w:tcPr>
          <w:p w14:paraId="2FB9EB93" w14:textId="624C6564" w:rsidR="0097583E" w:rsidRPr="0097583E" w:rsidRDefault="0097583E" w:rsidP="0097583E">
            <w:pPr>
              <w:spacing w:line="360" w:lineRule="auto"/>
              <w:rPr>
                <w:rFonts w:ascii="Times New Roman" w:hAnsi="Times New Roman" w:cs="Times New Roman"/>
                <w:color w:val="000000"/>
                <w:sz w:val="22"/>
                <w:szCs w:val="22"/>
                <w:lang w:val="en-GB"/>
              </w:rPr>
            </w:pPr>
          </w:p>
        </w:tc>
        <w:tc>
          <w:tcPr>
            <w:tcW w:w="2268" w:type="dxa"/>
            <w:tcBorders>
              <w:top w:val="single" w:sz="4" w:space="0" w:color="auto"/>
            </w:tcBorders>
            <w:vAlign w:val="center"/>
          </w:tcPr>
          <w:p w14:paraId="0494E183" w14:textId="77777777" w:rsidR="0097583E" w:rsidRPr="0097583E" w:rsidRDefault="0097583E" w:rsidP="0097583E">
            <w:pPr>
              <w:spacing w:line="360" w:lineRule="auto"/>
              <w:rPr>
                <w:rFonts w:ascii="Times New Roman" w:hAnsi="Times New Roman" w:cs="Times New Roman"/>
                <w:color w:val="000000"/>
                <w:sz w:val="22"/>
                <w:szCs w:val="22"/>
                <w:lang w:val="en-GB"/>
              </w:rPr>
            </w:pPr>
          </w:p>
        </w:tc>
      </w:tr>
      <w:tr w:rsidR="0097583E" w:rsidRPr="0097583E" w14:paraId="18D2D146" w14:textId="5E9C1390" w:rsidTr="0097583E">
        <w:trPr>
          <w:trHeight w:val="99"/>
        </w:trPr>
        <w:tc>
          <w:tcPr>
            <w:tcW w:w="3828" w:type="dxa"/>
            <w:noWrap/>
            <w:vAlign w:val="center"/>
          </w:tcPr>
          <w:p w14:paraId="34DF995A" w14:textId="5186761A" w:rsidR="0097583E" w:rsidRPr="0097583E" w:rsidRDefault="0097583E" w:rsidP="0097583E">
            <w:pPr>
              <w:spacing w:line="360" w:lineRule="auto"/>
              <w:rPr>
                <w:rFonts w:ascii="Times New Roman" w:hAnsi="Times New Roman" w:cs="Times New Roman"/>
                <w:bCs/>
                <w:sz w:val="22"/>
                <w:szCs w:val="22"/>
                <w:lang w:val="en-GB"/>
              </w:rPr>
            </w:pPr>
            <w:r w:rsidRPr="0097583E">
              <w:rPr>
                <w:rFonts w:ascii="Times New Roman" w:hAnsi="Times New Roman" w:cs="Times New Roman"/>
                <w:bCs/>
                <w:sz w:val="22"/>
                <w:szCs w:val="22"/>
                <w:lang w:val="en-GB"/>
              </w:rPr>
              <w:t>Never vaccinated</w:t>
            </w:r>
          </w:p>
        </w:tc>
        <w:tc>
          <w:tcPr>
            <w:tcW w:w="1842" w:type="dxa"/>
            <w:vAlign w:val="center"/>
          </w:tcPr>
          <w:p w14:paraId="010ADD27" w14:textId="45E6E280" w:rsidR="0097583E" w:rsidRPr="0097583E" w:rsidRDefault="0097583E" w:rsidP="0097583E">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1.46 (1.11–1.92)</w:t>
            </w:r>
          </w:p>
        </w:tc>
        <w:tc>
          <w:tcPr>
            <w:tcW w:w="2268" w:type="dxa"/>
            <w:vAlign w:val="center"/>
          </w:tcPr>
          <w:p w14:paraId="24A76543" w14:textId="4B0AA29F" w:rsidR="0097583E" w:rsidRPr="0097583E" w:rsidRDefault="0097583E" w:rsidP="0097583E">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1.4</w:t>
            </w:r>
            <w:r>
              <w:rPr>
                <w:rFonts w:ascii="Times New Roman" w:hAnsi="Times New Roman" w:cs="Times New Roman"/>
                <w:sz w:val="22"/>
                <w:szCs w:val="22"/>
                <w:lang w:val="en-GB"/>
              </w:rPr>
              <w:t>5</w:t>
            </w:r>
            <w:r>
              <w:rPr>
                <w:rFonts w:ascii="Times New Roman" w:hAnsi="Times New Roman" w:cs="Times New Roman"/>
                <w:sz w:val="22"/>
                <w:szCs w:val="22"/>
                <w:lang w:val="en-GB"/>
              </w:rPr>
              <w:t xml:space="preserve"> (1.1</w:t>
            </w:r>
            <w:r>
              <w:rPr>
                <w:rFonts w:ascii="Times New Roman" w:hAnsi="Times New Roman" w:cs="Times New Roman"/>
                <w:sz w:val="22"/>
                <w:szCs w:val="22"/>
                <w:lang w:val="en-GB"/>
              </w:rPr>
              <w:t>0</w:t>
            </w:r>
            <w:r>
              <w:rPr>
                <w:rFonts w:ascii="Times New Roman" w:hAnsi="Times New Roman" w:cs="Times New Roman"/>
                <w:sz w:val="22"/>
                <w:szCs w:val="22"/>
                <w:lang w:val="en-GB"/>
              </w:rPr>
              <w:t>–1.9</w:t>
            </w:r>
            <w:r>
              <w:rPr>
                <w:rFonts w:ascii="Times New Roman" w:hAnsi="Times New Roman" w:cs="Times New Roman"/>
                <w:sz w:val="22"/>
                <w:szCs w:val="22"/>
                <w:lang w:val="en-GB"/>
              </w:rPr>
              <w:t>1</w:t>
            </w:r>
            <w:r>
              <w:rPr>
                <w:rFonts w:ascii="Times New Roman" w:hAnsi="Times New Roman" w:cs="Times New Roman"/>
                <w:sz w:val="22"/>
                <w:szCs w:val="22"/>
                <w:lang w:val="en-GB"/>
              </w:rPr>
              <w:t>)</w:t>
            </w:r>
          </w:p>
        </w:tc>
      </w:tr>
      <w:tr w:rsidR="0097583E" w:rsidRPr="0097583E" w14:paraId="75BA6DE2" w14:textId="44E48F09" w:rsidTr="0097583E">
        <w:trPr>
          <w:trHeight w:val="99"/>
        </w:trPr>
        <w:tc>
          <w:tcPr>
            <w:tcW w:w="3828" w:type="dxa"/>
            <w:noWrap/>
            <w:vAlign w:val="center"/>
          </w:tcPr>
          <w:p w14:paraId="6AB3356F" w14:textId="1A30B044" w:rsidR="0097583E" w:rsidRPr="0097583E" w:rsidRDefault="0097583E" w:rsidP="0097583E">
            <w:pPr>
              <w:spacing w:line="360" w:lineRule="auto"/>
              <w:rPr>
                <w:rFonts w:ascii="Times New Roman" w:hAnsi="Times New Roman" w:cs="Times New Roman"/>
                <w:bCs/>
                <w:color w:val="000000"/>
                <w:sz w:val="22"/>
                <w:szCs w:val="22"/>
                <w:lang w:val="en-GB"/>
              </w:rPr>
            </w:pPr>
            <w:r w:rsidRPr="0097583E">
              <w:rPr>
                <w:rFonts w:ascii="Times New Roman" w:hAnsi="Times New Roman" w:cs="Times New Roman"/>
                <w:bCs/>
                <w:color w:val="000000"/>
                <w:sz w:val="22"/>
                <w:szCs w:val="22"/>
                <w:lang w:val="en-GB"/>
              </w:rPr>
              <w:t>Vaccinated after infection</w:t>
            </w:r>
          </w:p>
        </w:tc>
        <w:tc>
          <w:tcPr>
            <w:tcW w:w="1842" w:type="dxa"/>
            <w:vAlign w:val="center"/>
          </w:tcPr>
          <w:p w14:paraId="7815C1D8" w14:textId="6DD98D50" w:rsidR="0097583E" w:rsidRPr="0097583E" w:rsidRDefault="0097583E" w:rsidP="0097583E">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1.</w:t>
            </w:r>
            <w:r>
              <w:rPr>
                <w:rFonts w:ascii="Times New Roman" w:hAnsi="Times New Roman" w:cs="Times New Roman"/>
                <w:sz w:val="22"/>
                <w:szCs w:val="22"/>
                <w:lang w:val="en-GB"/>
              </w:rPr>
              <w:t>05</w:t>
            </w:r>
            <w:r>
              <w:rPr>
                <w:rFonts w:ascii="Times New Roman" w:hAnsi="Times New Roman" w:cs="Times New Roman"/>
                <w:sz w:val="22"/>
                <w:szCs w:val="22"/>
                <w:lang w:val="en-GB"/>
              </w:rPr>
              <w:t xml:space="preserve"> (</w:t>
            </w:r>
            <w:r>
              <w:rPr>
                <w:rFonts w:ascii="Times New Roman" w:hAnsi="Times New Roman" w:cs="Times New Roman"/>
                <w:sz w:val="22"/>
                <w:szCs w:val="22"/>
                <w:lang w:val="en-GB"/>
              </w:rPr>
              <w:t>0.89</w:t>
            </w:r>
            <w:r>
              <w:rPr>
                <w:rFonts w:ascii="Times New Roman" w:hAnsi="Times New Roman" w:cs="Times New Roman"/>
                <w:sz w:val="22"/>
                <w:szCs w:val="22"/>
                <w:lang w:val="en-GB"/>
              </w:rPr>
              <w:t>–</w:t>
            </w:r>
            <w:r>
              <w:rPr>
                <w:rFonts w:ascii="Times New Roman" w:hAnsi="Times New Roman" w:cs="Times New Roman"/>
                <w:sz w:val="22"/>
                <w:szCs w:val="22"/>
                <w:lang w:val="en-GB"/>
              </w:rPr>
              <w:t>1.25</w:t>
            </w:r>
            <w:r>
              <w:rPr>
                <w:rFonts w:ascii="Times New Roman" w:hAnsi="Times New Roman" w:cs="Times New Roman"/>
                <w:sz w:val="22"/>
                <w:szCs w:val="22"/>
                <w:lang w:val="en-GB"/>
              </w:rPr>
              <w:t>)</w:t>
            </w:r>
          </w:p>
        </w:tc>
        <w:tc>
          <w:tcPr>
            <w:tcW w:w="2268" w:type="dxa"/>
            <w:vAlign w:val="center"/>
          </w:tcPr>
          <w:p w14:paraId="0F5021FE" w14:textId="233F9580" w:rsidR="0097583E" w:rsidRPr="0097583E" w:rsidRDefault="0097583E" w:rsidP="0097583E">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1.0</w:t>
            </w:r>
            <w:r>
              <w:rPr>
                <w:rFonts w:ascii="Times New Roman" w:hAnsi="Times New Roman" w:cs="Times New Roman"/>
                <w:sz w:val="22"/>
                <w:szCs w:val="22"/>
                <w:lang w:val="en-GB"/>
              </w:rPr>
              <w:t>6</w:t>
            </w:r>
            <w:r>
              <w:rPr>
                <w:rFonts w:ascii="Times New Roman" w:hAnsi="Times New Roman" w:cs="Times New Roman"/>
                <w:sz w:val="22"/>
                <w:szCs w:val="22"/>
                <w:lang w:val="en-GB"/>
              </w:rPr>
              <w:t xml:space="preserve"> (0.</w:t>
            </w:r>
            <w:r>
              <w:rPr>
                <w:rFonts w:ascii="Times New Roman" w:hAnsi="Times New Roman" w:cs="Times New Roman"/>
                <w:sz w:val="22"/>
                <w:szCs w:val="22"/>
                <w:lang w:val="en-GB"/>
              </w:rPr>
              <w:t>90</w:t>
            </w:r>
            <w:r>
              <w:rPr>
                <w:rFonts w:ascii="Times New Roman" w:hAnsi="Times New Roman" w:cs="Times New Roman"/>
                <w:sz w:val="22"/>
                <w:szCs w:val="22"/>
                <w:lang w:val="en-GB"/>
              </w:rPr>
              <w:t>–1.2</w:t>
            </w:r>
            <w:r>
              <w:rPr>
                <w:rFonts w:ascii="Times New Roman" w:hAnsi="Times New Roman" w:cs="Times New Roman"/>
                <w:sz w:val="22"/>
                <w:szCs w:val="22"/>
                <w:lang w:val="en-GB"/>
              </w:rPr>
              <w:t>6</w:t>
            </w:r>
            <w:r>
              <w:rPr>
                <w:rFonts w:ascii="Times New Roman" w:hAnsi="Times New Roman" w:cs="Times New Roman"/>
                <w:sz w:val="22"/>
                <w:szCs w:val="22"/>
                <w:lang w:val="en-GB"/>
              </w:rPr>
              <w:t>)</w:t>
            </w:r>
          </w:p>
        </w:tc>
      </w:tr>
      <w:tr w:rsidR="0097583E" w:rsidRPr="0097583E" w14:paraId="61A3AA69" w14:textId="1034B8F6" w:rsidTr="0097583E">
        <w:trPr>
          <w:trHeight w:val="99"/>
        </w:trPr>
        <w:tc>
          <w:tcPr>
            <w:tcW w:w="3828" w:type="dxa"/>
            <w:noWrap/>
            <w:vAlign w:val="center"/>
          </w:tcPr>
          <w:p w14:paraId="0C165F08" w14:textId="49F23565" w:rsidR="0097583E" w:rsidRPr="0097583E" w:rsidRDefault="0097583E" w:rsidP="0097583E">
            <w:pPr>
              <w:spacing w:line="360"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Female sex</w:t>
            </w:r>
          </w:p>
        </w:tc>
        <w:tc>
          <w:tcPr>
            <w:tcW w:w="1842" w:type="dxa"/>
            <w:vAlign w:val="center"/>
          </w:tcPr>
          <w:p w14:paraId="514866FC" w14:textId="156E3DDA" w:rsidR="0097583E" w:rsidRPr="0097583E" w:rsidRDefault="0097583E" w:rsidP="0097583E">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w:t>
            </w:r>
            <w:r>
              <w:rPr>
                <w:rFonts w:ascii="Times New Roman" w:hAnsi="Times New Roman" w:cs="Times New Roman"/>
                <w:sz w:val="22"/>
                <w:szCs w:val="22"/>
                <w:lang w:val="en-GB"/>
              </w:rPr>
              <w:t>24</w:t>
            </w:r>
            <w:r>
              <w:rPr>
                <w:rFonts w:ascii="Times New Roman" w:hAnsi="Times New Roman" w:cs="Times New Roman"/>
                <w:sz w:val="22"/>
                <w:szCs w:val="22"/>
                <w:lang w:val="en-GB"/>
              </w:rPr>
              <w:t xml:space="preserve"> (</w:t>
            </w:r>
            <w:r>
              <w:rPr>
                <w:rFonts w:ascii="Times New Roman" w:hAnsi="Times New Roman" w:cs="Times New Roman"/>
                <w:sz w:val="22"/>
                <w:szCs w:val="22"/>
                <w:lang w:val="en-GB"/>
              </w:rPr>
              <w:t>1.01</w:t>
            </w:r>
            <w:r>
              <w:rPr>
                <w:rFonts w:ascii="Times New Roman" w:hAnsi="Times New Roman" w:cs="Times New Roman"/>
                <w:sz w:val="22"/>
                <w:szCs w:val="22"/>
                <w:lang w:val="en-GB"/>
              </w:rPr>
              <w:t>–1.</w:t>
            </w:r>
            <w:r>
              <w:rPr>
                <w:rFonts w:ascii="Times New Roman" w:hAnsi="Times New Roman" w:cs="Times New Roman"/>
                <w:sz w:val="22"/>
                <w:szCs w:val="22"/>
                <w:lang w:val="en-GB"/>
              </w:rPr>
              <w:t>52</w:t>
            </w:r>
            <w:r>
              <w:rPr>
                <w:rFonts w:ascii="Times New Roman" w:hAnsi="Times New Roman" w:cs="Times New Roman"/>
                <w:sz w:val="22"/>
                <w:szCs w:val="22"/>
                <w:lang w:val="en-GB"/>
              </w:rPr>
              <w:t>)</w:t>
            </w:r>
          </w:p>
        </w:tc>
        <w:tc>
          <w:tcPr>
            <w:tcW w:w="2268" w:type="dxa"/>
            <w:vAlign w:val="center"/>
          </w:tcPr>
          <w:p w14:paraId="51A864DF" w14:textId="6F3DE47D" w:rsidR="0097583E" w:rsidRPr="0097583E" w:rsidRDefault="0097583E" w:rsidP="0097583E">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1.2</w:t>
            </w:r>
            <w:r>
              <w:rPr>
                <w:rFonts w:ascii="Times New Roman" w:hAnsi="Times New Roman" w:cs="Times New Roman"/>
                <w:sz w:val="22"/>
                <w:szCs w:val="22"/>
                <w:lang w:val="en-GB"/>
              </w:rPr>
              <w:t>5</w:t>
            </w:r>
            <w:r>
              <w:rPr>
                <w:rFonts w:ascii="Times New Roman" w:hAnsi="Times New Roman" w:cs="Times New Roman"/>
                <w:sz w:val="22"/>
                <w:szCs w:val="22"/>
                <w:lang w:val="en-GB"/>
              </w:rPr>
              <w:t xml:space="preserve"> (1.0</w:t>
            </w:r>
            <w:r>
              <w:rPr>
                <w:rFonts w:ascii="Times New Roman" w:hAnsi="Times New Roman" w:cs="Times New Roman"/>
                <w:sz w:val="22"/>
                <w:szCs w:val="22"/>
                <w:lang w:val="en-GB"/>
              </w:rPr>
              <w:t>2</w:t>
            </w:r>
            <w:r>
              <w:rPr>
                <w:rFonts w:ascii="Times New Roman" w:hAnsi="Times New Roman" w:cs="Times New Roman"/>
                <w:sz w:val="22"/>
                <w:szCs w:val="22"/>
                <w:lang w:val="en-GB"/>
              </w:rPr>
              <w:t>–1.5</w:t>
            </w:r>
            <w:r>
              <w:rPr>
                <w:rFonts w:ascii="Times New Roman" w:hAnsi="Times New Roman" w:cs="Times New Roman"/>
                <w:sz w:val="22"/>
                <w:szCs w:val="22"/>
                <w:lang w:val="en-GB"/>
              </w:rPr>
              <w:t>3</w:t>
            </w:r>
            <w:r>
              <w:rPr>
                <w:rFonts w:ascii="Times New Roman" w:hAnsi="Times New Roman" w:cs="Times New Roman"/>
                <w:sz w:val="22"/>
                <w:szCs w:val="22"/>
                <w:lang w:val="en-GB"/>
              </w:rPr>
              <w:t>)</w:t>
            </w:r>
          </w:p>
        </w:tc>
      </w:tr>
      <w:tr w:rsidR="0097583E" w:rsidRPr="0097583E" w14:paraId="57FDD9E6" w14:textId="44329EFF" w:rsidTr="0097583E">
        <w:trPr>
          <w:trHeight w:val="99"/>
        </w:trPr>
        <w:tc>
          <w:tcPr>
            <w:tcW w:w="3828" w:type="dxa"/>
            <w:noWrap/>
            <w:vAlign w:val="center"/>
          </w:tcPr>
          <w:p w14:paraId="5ECD6851" w14:textId="03EE8E78" w:rsidR="0097583E" w:rsidRPr="0097583E" w:rsidRDefault="0097583E" w:rsidP="0097583E">
            <w:pPr>
              <w:spacing w:line="360"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Secondary education (vs. primary or less)</w:t>
            </w:r>
          </w:p>
        </w:tc>
        <w:tc>
          <w:tcPr>
            <w:tcW w:w="1842" w:type="dxa"/>
            <w:vAlign w:val="center"/>
          </w:tcPr>
          <w:p w14:paraId="0927D408" w14:textId="0F430A7E" w:rsidR="0097583E" w:rsidRPr="0097583E" w:rsidRDefault="0097583E" w:rsidP="0097583E">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0.65</w:t>
            </w:r>
            <w:r>
              <w:rPr>
                <w:rFonts w:ascii="Times New Roman" w:hAnsi="Times New Roman" w:cs="Times New Roman"/>
                <w:sz w:val="22"/>
                <w:szCs w:val="22"/>
                <w:lang w:val="en-GB"/>
              </w:rPr>
              <w:t xml:space="preserve"> (</w:t>
            </w:r>
            <w:r>
              <w:rPr>
                <w:rFonts w:ascii="Times New Roman" w:hAnsi="Times New Roman" w:cs="Times New Roman"/>
                <w:sz w:val="22"/>
                <w:szCs w:val="22"/>
                <w:lang w:val="en-GB"/>
              </w:rPr>
              <w:t>0.45</w:t>
            </w:r>
            <w:r>
              <w:rPr>
                <w:rFonts w:ascii="Times New Roman" w:hAnsi="Times New Roman" w:cs="Times New Roman"/>
                <w:sz w:val="22"/>
                <w:szCs w:val="22"/>
                <w:lang w:val="en-GB"/>
              </w:rPr>
              <w:t>–</w:t>
            </w:r>
            <w:r>
              <w:rPr>
                <w:rFonts w:ascii="Times New Roman" w:hAnsi="Times New Roman" w:cs="Times New Roman"/>
                <w:sz w:val="22"/>
                <w:szCs w:val="22"/>
                <w:lang w:val="en-GB"/>
              </w:rPr>
              <w:t>0.95</w:t>
            </w:r>
            <w:r>
              <w:rPr>
                <w:rFonts w:ascii="Times New Roman" w:hAnsi="Times New Roman" w:cs="Times New Roman"/>
                <w:sz w:val="22"/>
                <w:szCs w:val="22"/>
                <w:lang w:val="en-GB"/>
              </w:rPr>
              <w:t>)</w:t>
            </w:r>
          </w:p>
        </w:tc>
        <w:tc>
          <w:tcPr>
            <w:tcW w:w="2268" w:type="dxa"/>
            <w:vAlign w:val="center"/>
          </w:tcPr>
          <w:p w14:paraId="650A6A43" w14:textId="7FD9A438" w:rsidR="0097583E" w:rsidRPr="0097583E" w:rsidRDefault="0097583E" w:rsidP="0097583E">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0.6</w:t>
            </w:r>
            <w:r>
              <w:rPr>
                <w:rFonts w:ascii="Times New Roman" w:hAnsi="Times New Roman" w:cs="Times New Roman"/>
                <w:sz w:val="22"/>
                <w:szCs w:val="22"/>
                <w:lang w:val="en-GB"/>
              </w:rPr>
              <w:t>6</w:t>
            </w:r>
            <w:r>
              <w:rPr>
                <w:rFonts w:ascii="Times New Roman" w:hAnsi="Times New Roman" w:cs="Times New Roman"/>
                <w:sz w:val="22"/>
                <w:szCs w:val="22"/>
                <w:lang w:val="en-GB"/>
              </w:rPr>
              <w:t xml:space="preserve"> (0.4</w:t>
            </w:r>
            <w:r>
              <w:rPr>
                <w:rFonts w:ascii="Times New Roman" w:hAnsi="Times New Roman" w:cs="Times New Roman"/>
                <w:sz w:val="22"/>
                <w:szCs w:val="22"/>
                <w:lang w:val="en-GB"/>
              </w:rPr>
              <w:t>6</w:t>
            </w:r>
            <w:r>
              <w:rPr>
                <w:rFonts w:ascii="Times New Roman" w:hAnsi="Times New Roman" w:cs="Times New Roman"/>
                <w:sz w:val="22"/>
                <w:szCs w:val="22"/>
                <w:lang w:val="en-GB"/>
              </w:rPr>
              <w:t>–0.9</w:t>
            </w:r>
            <w:r>
              <w:rPr>
                <w:rFonts w:ascii="Times New Roman" w:hAnsi="Times New Roman" w:cs="Times New Roman"/>
                <w:sz w:val="22"/>
                <w:szCs w:val="22"/>
                <w:lang w:val="en-GB"/>
              </w:rPr>
              <w:t>6</w:t>
            </w:r>
            <w:r>
              <w:rPr>
                <w:rFonts w:ascii="Times New Roman" w:hAnsi="Times New Roman" w:cs="Times New Roman"/>
                <w:sz w:val="22"/>
                <w:szCs w:val="22"/>
                <w:lang w:val="en-GB"/>
              </w:rPr>
              <w:t>)</w:t>
            </w:r>
          </w:p>
        </w:tc>
      </w:tr>
      <w:tr w:rsidR="0097583E" w:rsidRPr="0097583E" w14:paraId="5E7072E7" w14:textId="5B9B6D12" w:rsidTr="0097583E">
        <w:trPr>
          <w:trHeight w:val="99"/>
        </w:trPr>
        <w:tc>
          <w:tcPr>
            <w:tcW w:w="3828" w:type="dxa"/>
            <w:noWrap/>
            <w:vAlign w:val="center"/>
          </w:tcPr>
          <w:p w14:paraId="409D1FBA" w14:textId="210FA5CD" w:rsidR="0097583E" w:rsidRPr="0097583E" w:rsidRDefault="0097583E" w:rsidP="0097583E">
            <w:pPr>
              <w:spacing w:line="360"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 xml:space="preserve">No other comorbidities (vs. </w:t>
            </w:r>
            <w:r w:rsidRPr="0097583E">
              <w:rPr>
                <w:rFonts w:ascii="Times New Roman" w:hAnsi="Times New Roman" w:cs="Times New Roman"/>
                <w:b/>
                <w:color w:val="000000"/>
                <w:sz w:val="22"/>
                <w:szCs w:val="22"/>
                <w:lang w:val="en-GB"/>
              </w:rPr>
              <w:sym w:font="Symbol" w:char="F0B3"/>
            </w:r>
            <w:r w:rsidRPr="0097583E">
              <w:rPr>
                <w:rFonts w:ascii="Times New Roman" w:hAnsi="Times New Roman" w:cs="Times New Roman"/>
                <w:b/>
                <w:color w:val="000000"/>
                <w:sz w:val="22"/>
                <w:szCs w:val="22"/>
                <w:lang w:val="en-GB"/>
              </w:rPr>
              <w:t>1)</w:t>
            </w:r>
          </w:p>
        </w:tc>
        <w:tc>
          <w:tcPr>
            <w:tcW w:w="1842" w:type="dxa"/>
            <w:vAlign w:val="center"/>
          </w:tcPr>
          <w:p w14:paraId="66D6EDDF" w14:textId="2CE2FA30" w:rsidR="0097583E" w:rsidRPr="0097583E" w:rsidRDefault="0097583E" w:rsidP="0097583E">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w:t>
            </w:r>
            <w:r>
              <w:rPr>
                <w:rFonts w:ascii="Times New Roman" w:hAnsi="Times New Roman" w:cs="Times New Roman"/>
                <w:sz w:val="22"/>
                <w:szCs w:val="22"/>
                <w:lang w:val="en-GB"/>
              </w:rPr>
              <w:t>84</w:t>
            </w:r>
            <w:r>
              <w:rPr>
                <w:rFonts w:ascii="Times New Roman" w:hAnsi="Times New Roman" w:cs="Times New Roman"/>
                <w:sz w:val="22"/>
                <w:szCs w:val="22"/>
                <w:lang w:val="en-GB"/>
              </w:rPr>
              <w:t xml:space="preserve"> (0.</w:t>
            </w:r>
            <w:r>
              <w:rPr>
                <w:rFonts w:ascii="Times New Roman" w:hAnsi="Times New Roman" w:cs="Times New Roman"/>
                <w:sz w:val="22"/>
                <w:szCs w:val="22"/>
                <w:lang w:val="en-GB"/>
              </w:rPr>
              <w:t>71</w:t>
            </w:r>
            <w:r>
              <w:rPr>
                <w:rFonts w:ascii="Times New Roman" w:hAnsi="Times New Roman" w:cs="Times New Roman"/>
                <w:sz w:val="22"/>
                <w:szCs w:val="22"/>
                <w:lang w:val="en-GB"/>
              </w:rPr>
              <w:t>–0.9</w:t>
            </w:r>
            <w:r>
              <w:rPr>
                <w:rFonts w:ascii="Times New Roman" w:hAnsi="Times New Roman" w:cs="Times New Roman"/>
                <w:sz w:val="22"/>
                <w:szCs w:val="22"/>
                <w:lang w:val="en-GB"/>
              </w:rPr>
              <w:t>9</w:t>
            </w:r>
            <w:r>
              <w:rPr>
                <w:rFonts w:ascii="Times New Roman" w:hAnsi="Times New Roman" w:cs="Times New Roman"/>
                <w:sz w:val="22"/>
                <w:szCs w:val="22"/>
                <w:lang w:val="en-GB"/>
              </w:rPr>
              <w:t>)</w:t>
            </w:r>
          </w:p>
        </w:tc>
        <w:tc>
          <w:tcPr>
            <w:tcW w:w="2268" w:type="dxa"/>
            <w:vAlign w:val="center"/>
          </w:tcPr>
          <w:p w14:paraId="74B4387B" w14:textId="59F464CE" w:rsidR="0097583E" w:rsidRPr="0097583E" w:rsidRDefault="0097583E" w:rsidP="0097583E">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0.6</w:t>
            </w:r>
            <w:r>
              <w:rPr>
                <w:rFonts w:ascii="Times New Roman" w:hAnsi="Times New Roman" w:cs="Times New Roman"/>
                <w:sz w:val="22"/>
                <w:szCs w:val="22"/>
                <w:lang w:val="en-GB"/>
              </w:rPr>
              <w:t>6</w:t>
            </w:r>
            <w:r>
              <w:rPr>
                <w:rFonts w:ascii="Times New Roman" w:hAnsi="Times New Roman" w:cs="Times New Roman"/>
                <w:sz w:val="22"/>
                <w:szCs w:val="22"/>
                <w:lang w:val="en-GB"/>
              </w:rPr>
              <w:t xml:space="preserve"> (0.</w:t>
            </w:r>
            <w:r>
              <w:rPr>
                <w:rFonts w:ascii="Times New Roman" w:hAnsi="Times New Roman" w:cs="Times New Roman"/>
                <w:sz w:val="22"/>
                <w:szCs w:val="22"/>
                <w:lang w:val="en-GB"/>
              </w:rPr>
              <w:t>71</w:t>
            </w:r>
            <w:r>
              <w:rPr>
                <w:rFonts w:ascii="Times New Roman" w:hAnsi="Times New Roman" w:cs="Times New Roman"/>
                <w:sz w:val="22"/>
                <w:szCs w:val="22"/>
                <w:lang w:val="en-GB"/>
              </w:rPr>
              <w:t>–0.9</w:t>
            </w:r>
            <w:r>
              <w:rPr>
                <w:rFonts w:ascii="Times New Roman" w:hAnsi="Times New Roman" w:cs="Times New Roman"/>
                <w:sz w:val="22"/>
                <w:szCs w:val="22"/>
                <w:lang w:val="en-GB"/>
              </w:rPr>
              <w:t>9</w:t>
            </w:r>
            <w:r>
              <w:rPr>
                <w:rFonts w:ascii="Times New Roman" w:hAnsi="Times New Roman" w:cs="Times New Roman"/>
                <w:sz w:val="22"/>
                <w:szCs w:val="22"/>
                <w:lang w:val="en-GB"/>
              </w:rPr>
              <w:t>)</w:t>
            </w:r>
          </w:p>
        </w:tc>
      </w:tr>
      <w:tr w:rsidR="0097583E" w:rsidRPr="0097583E" w14:paraId="292369D6" w14:textId="40E7CAEF" w:rsidTr="0097583E">
        <w:trPr>
          <w:trHeight w:val="99"/>
        </w:trPr>
        <w:tc>
          <w:tcPr>
            <w:tcW w:w="3828" w:type="dxa"/>
            <w:tcBorders>
              <w:bottom w:val="single" w:sz="4" w:space="0" w:color="auto"/>
            </w:tcBorders>
            <w:noWrap/>
            <w:vAlign w:val="center"/>
          </w:tcPr>
          <w:p w14:paraId="1AF50187" w14:textId="470DB358" w:rsidR="0097583E" w:rsidRPr="0097583E" w:rsidRDefault="0097583E" w:rsidP="0097583E">
            <w:pPr>
              <w:spacing w:line="360"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Hospitalisation (vs. no)</w:t>
            </w:r>
          </w:p>
        </w:tc>
        <w:tc>
          <w:tcPr>
            <w:tcW w:w="1842" w:type="dxa"/>
            <w:tcBorders>
              <w:bottom w:val="single" w:sz="4" w:space="0" w:color="auto"/>
            </w:tcBorders>
            <w:vAlign w:val="center"/>
          </w:tcPr>
          <w:p w14:paraId="44486A50" w14:textId="007FECC0" w:rsidR="0097583E" w:rsidRPr="0097583E" w:rsidRDefault="0097583E" w:rsidP="0097583E">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w:t>
            </w:r>
            <w:r>
              <w:rPr>
                <w:rFonts w:ascii="Times New Roman" w:hAnsi="Times New Roman" w:cs="Times New Roman"/>
                <w:sz w:val="22"/>
                <w:szCs w:val="22"/>
                <w:lang w:val="en-GB"/>
              </w:rPr>
              <w:t>81</w:t>
            </w:r>
            <w:r>
              <w:rPr>
                <w:rFonts w:ascii="Times New Roman" w:hAnsi="Times New Roman" w:cs="Times New Roman"/>
                <w:sz w:val="22"/>
                <w:szCs w:val="22"/>
                <w:lang w:val="en-GB"/>
              </w:rPr>
              <w:t xml:space="preserve"> (0.</w:t>
            </w:r>
            <w:r>
              <w:rPr>
                <w:rFonts w:ascii="Times New Roman" w:hAnsi="Times New Roman" w:cs="Times New Roman"/>
                <w:sz w:val="22"/>
                <w:szCs w:val="22"/>
                <w:lang w:val="en-GB"/>
              </w:rPr>
              <w:t>65</w:t>
            </w:r>
            <w:r>
              <w:rPr>
                <w:rFonts w:ascii="Times New Roman" w:hAnsi="Times New Roman" w:cs="Times New Roman"/>
                <w:sz w:val="22"/>
                <w:szCs w:val="22"/>
                <w:lang w:val="en-GB"/>
              </w:rPr>
              <w:t>–</w:t>
            </w:r>
            <w:r>
              <w:rPr>
                <w:rFonts w:ascii="Times New Roman" w:hAnsi="Times New Roman" w:cs="Times New Roman"/>
                <w:sz w:val="22"/>
                <w:szCs w:val="22"/>
                <w:lang w:val="en-GB"/>
              </w:rPr>
              <w:t>1.00</w:t>
            </w:r>
            <w:r>
              <w:rPr>
                <w:rFonts w:ascii="Times New Roman" w:hAnsi="Times New Roman" w:cs="Times New Roman"/>
                <w:sz w:val="22"/>
                <w:szCs w:val="22"/>
                <w:lang w:val="en-GB"/>
              </w:rPr>
              <w:t>)</w:t>
            </w:r>
          </w:p>
        </w:tc>
        <w:tc>
          <w:tcPr>
            <w:tcW w:w="2268" w:type="dxa"/>
            <w:tcBorders>
              <w:bottom w:val="single" w:sz="4" w:space="0" w:color="auto"/>
            </w:tcBorders>
            <w:vAlign w:val="center"/>
          </w:tcPr>
          <w:p w14:paraId="1760FD3B" w14:textId="451CA7F7" w:rsidR="0097583E" w:rsidRPr="0097583E" w:rsidRDefault="0097583E" w:rsidP="0097583E">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w:t>
            </w:r>
            <w:r>
              <w:rPr>
                <w:rFonts w:ascii="Times New Roman" w:hAnsi="Times New Roman" w:cs="Times New Roman"/>
                <w:sz w:val="22"/>
                <w:szCs w:val="22"/>
                <w:lang w:val="en-GB"/>
              </w:rPr>
              <w:t>82</w:t>
            </w:r>
            <w:r>
              <w:rPr>
                <w:rFonts w:ascii="Times New Roman" w:hAnsi="Times New Roman" w:cs="Times New Roman"/>
                <w:sz w:val="22"/>
                <w:szCs w:val="22"/>
                <w:lang w:val="en-GB"/>
              </w:rPr>
              <w:t xml:space="preserve"> (0.</w:t>
            </w:r>
            <w:r>
              <w:rPr>
                <w:rFonts w:ascii="Times New Roman" w:hAnsi="Times New Roman" w:cs="Times New Roman"/>
                <w:sz w:val="22"/>
                <w:szCs w:val="22"/>
                <w:lang w:val="en-GB"/>
              </w:rPr>
              <w:t>65</w:t>
            </w:r>
            <w:r>
              <w:rPr>
                <w:rFonts w:ascii="Times New Roman" w:hAnsi="Times New Roman" w:cs="Times New Roman"/>
                <w:sz w:val="22"/>
                <w:szCs w:val="22"/>
                <w:lang w:val="en-GB"/>
              </w:rPr>
              <w:t>–</w:t>
            </w:r>
            <w:r>
              <w:rPr>
                <w:rFonts w:ascii="Times New Roman" w:hAnsi="Times New Roman" w:cs="Times New Roman"/>
                <w:sz w:val="22"/>
                <w:szCs w:val="22"/>
                <w:lang w:val="en-GB"/>
              </w:rPr>
              <w:t>1.01</w:t>
            </w:r>
            <w:r>
              <w:rPr>
                <w:rFonts w:ascii="Times New Roman" w:hAnsi="Times New Roman" w:cs="Times New Roman"/>
                <w:sz w:val="22"/>
                <w:szCs w:val="22"/>
                <w:lang w:val="en-GB"/>
              </w:rPr>
              <w:t>)</w:t>
            </w:r>
          </w:p>
        </w:tc>
      </w:tr>
    </w:tbl>
    <w:p w14:paraId="5C8064F1" w14:textId="77777777" w:rsidR="0097583E" w:rsidRDefault="0097583E" w:rsidP="00701B53">
      <w:pPr>
        <w:spacing w:line="480" w:lineRule="auto"/>
        <w:jc w:val="both"/>
        <w:rPr>
          <w:rFonts w:ascii="Times New Roman" w:hAnsi="Times New Roman" w:cs="Times New Roman"/>
          <w:lang w:val="en-US"/>
        </w:rPr>
      </w:pPr>
    </w:p>
    <w:p w14:paraId="6F974EA0" w14:textId="7571D95F" w:rsidR="0097583E" w:rsidRPr="0097583E" w:rsidRDefault="0097583E" w:rsidP="0097583E">
      <w:pPr>
        <w:spacing w:after="0" w:line="480" w:lineRule="auto"/>
        <w:jc w:val="both"/>
        <w:rPr>
          <w:rFonts w:ascii="Times New Roman" w:hAnsi="Times New Roman" w:cs="Times New Roman"/>
          <w:b/>
          <w:bCs/>
          <w:lang w:val="en-US"/>
        </w:rPr>
      </w:pPr>
      <w:r w:rsidRPr="0097583E">
        <w:rPr>
          <w:rFonts w:ascii="Times New Roman" w:hAnsi="Times New Roman" w:cs="Times New Roman"/>
          <w:b/>
          <w:bCs/>
          <w:lang w:val="en-US"/>
        </w:rPr>
        <w:lastRenderedPageBreak/>
        <w:t>Table S</w:t>
      </w:r>
      <w:r w:rsidR="006373D4">
        <w:rPr>
          <w:rFonts w:ascii="Times New Roman" w:hAnsi="Times New Roman" w:cs="Times New Roman"/>
          <w:b/>
          <w:bCs/>
          <w:lang w:val="en-US"/>
        </w:rPr>
        <w:t>2</w:t>
      </w:r>
      <w:r w:rsidRPr="0097583E">
        <w:rPr>
          <w:rFonts w:ascii="Times New Roman" w:hAnsi="Times New Roman" w:cs="Times New Roman"/>
          <w:b/>
          <w:bCs/>
          <w:lang w:val="en-US"/>
        </w:rPr>
        <w:t xml:space="preserve">. Comparison of IRR (95% CI) for </w:t>
      </w:r>
      <w:r w:rsidR="006373D4">
        <w:rPr>
          <w:rFonts w:ascii="Times New Roman" w:hAnsi="Times New Roman" w:cs="Times New Roman"/>
          <w:b/>
          <w:bCs/>
          <w:lang w:val="en-US"/>
        </w:rPr>
        <w:t>sensory function and pain complaints</w:t>
      </w:r>
      <w:r w:rsidRPr="0097583E">
        <w:rPr>
          <w:rFonts w:ascii="Times New Roman" w:hAnsi="Times New Roman" w:cs="Times New Roman"/>
          <w:b/>
          <w:bCs/>
          <w:lang w:val="en-US"/>
        </w:rPr>
        <w:t xml:space="preserve"> (</w:t>
      </w:r>
      <w:r w:rsidR="006373D4">
        <w:rPr>
          <w:rFonts w:ascii="Times New Roman" w:hAnsi="Times New Roman" w:cs="Times New Roman"/>
          <w:b/>
          <w:bCs/>
          <w:lang w:val="en-US"/>
        </w:rPr>
        <w:t>9</w:t>
      </w:r>
      <w:r w:rsidRPr="0097583E">
        <w:rPr>
          <w:rFonts w:ascii="Times New Roman" w:hAnsi="Times New Roman" w:cs="Times New Roman"/>
          <w:b/>
          <w:bCs/>
          <w:lang w:val="en-US"/>
        </w:rPr>
        <w:t xml:space="preserve"> items)</w:t>
      </w:r>
    </w:p>
    <w:tbl>
      <w:tblPr>
        <w:tblW w:w="0" w:type="auto"/>
        <w:tblLook w:val="04A0" w:firstRow="1" w:lastRow="0" w:firstColumn="1" w:lastColumn="0" w:noHBand="0" w:noVBand="1"/>
      </w:tblPr>
      <w:tblGrid>
        <w:gridCol w:w="3828"/>
        <w:gridCol w:w="1842"/>
        <w:gridCol w:w="2268"/>
      </w:tblGrid>
      <w:tr w:rsidR="0097583E" w:rsidRPr="0097583E" w14:paraId="25ACA0AB" w14:textId="77777777" w:rsidTr="00FA6E99">
        <w:trPr>
          <w:trHeight w:val="423"/>
        </w:trPr>
        <w:tc>
          <w:tcPr>
            <w:tcW w:w="3828" w:type="dxa"/>
            <w:tcBorders>
              <w:top w:val="single" w:sz="4" w:space="0" w:color="auto"/>
              <w:bottom w:val="single" w:sz="4" w:space="0" w:color="auto"/>
            </w:tcBorders>
            <w:noWrap/>
            <w:vAlign w:val="center"/>
          </w:tcPr>
          <w:p w14:paraId="1AB035E1" w14:textId="77777777" w:rsidR="0097583E" w:rsidRPr="0097583E" w:rsidRDefault="0097583E" w:rsidP="00FA6E99">
            <w:pPr>
              <w:spacing w:after="0" w:line="276"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Variable</w:t>
            </w:r>
          </w:p>
        </w:tc>
        <w:tc>
          <w:tcPr>
            <w:tcW w:w="1842" w:type="dxa"/>
            <w:tcBorders>
              <w:top w:val="single" w:sz="4" w:space="0" w:color="auto"/>
              <w:bottom w:val="single" w:sz="4" w:space="0" w:color="auto"/>
            </w:tcBorders>
            <w:vAlign w:val="center"/>
          </w:tcPr>
          <w:p w14:paraId="750FC5D6" w14:textId="77777777" w:rsidR="0097583E" w:rsidRDefault="0097583E"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 xml:space="preserve">Complete case </w:t>
            </w:r>
          </w:p>
          <w:p w14:paraId="79259F6B" w14:textId="77777777" w:rsidR="0097583E" w:rsidRPr="0097583E" w:rsidRDefault="0097583E"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(n=412)</w:t>
            </w:r>
          </w:p>
        </w:tc>
        <w:tc>
          <w:tcPr>
            <w:tcW w:w="2268" w:type="dxa"/>
            <w:tcBorders>
              <w:top w:val="single" w:sz="4" w:space="0" w:color="auto"/>
              <w:bottom w:val="single" w:sz="4" w:space="0" w:color="auto"/>
            </w:tcBorders>
            <w:vAlign w:val="center"/>
          </w:tcPr>
          <w:p w14:paraId="3361D5AA" w14:textId="77777777" w:rsidR="0097583E" w:rsidRDefault="0097583E"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KNN imputation</w:t>
            </w:r>
          </w:p>
          <w:p w14:paraId="4B4EB618" w14:textId="77777777" w:rsidR="0097583E" w:rsidRPr="0097583E" w:rsidRDefault="0097583E"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(n=420)</w:t>
            </w:r>
          </w:p>
        </w:tc>
      </w:tr>
      <w:tr w:rsidR="0097583E" w:rsidRPr="0097583E" w14:paraId="22D4BCC8" w14:textId="77777777" w:rsidTr="00FA6E99">
        <w:trPr>
          <w:trHeight w:val="224"/>
        </w:trPr>
        <w:tc>
          <w:tcPr>
            <w:tcW w:w="3828" w:type="dxa"/>
            <w:tcBorders>
              <w:top w:val="single" w:sz="4" w:space="0" w:color="auto"/>
            </w:tcBorders>
            <w:noWrap/>
            <w:vAlign w:val="center"/>
          </w:tcPr>
          <w:p w14:paraId="6A9C93D0" w14:textId="23AF84B3" w:rsidR="0097583E" w:rsidRPr="0097583E" w:rsidRDefault="006373D4" w:rsidP="00FA6E99">
            <w:pPr>
              <w:spacing w:line="360" w:lineRule="auto"/>
              <w:rPr>
                <w:rFonts w:ascii="Times New Roman" w:hAnsi="Times New Roman" w:cs="Times New Roman"/>
                <w:b/>
                <w:color w:val="000000"/>
                <w:sz w:val="22"/>
                <w:szCs w:val="22"/>
                <w:vertAlign w:val="superscript"/>
                <w:lang w:val="en-GB"/>
              </w:rPr>
            </w:pPr>
            <w:r>
              <w:rPr>
                <w:rFonts w:ascii="Times New Roman" w:hAnsi="Times New Roman" w:cs="Times New Roman"/>
                <w:b/>
                <w:color w:val="000000"/>
                <w:sz w:val="22"/>
                <w:szCs w:val="22"/>
                <w:lang w:val="en-GB"/>
              </w:rPr>
              <w:t>Never vaccinated</w:t>
            </w:r>
            <w:r w:rsidR="0097583E">
              <w:rPr>
                <w:rFonts w:ascii="Times New Roman" w:hAnsi="Times New Roman" w:cs="Times New Roman"/>
                <w:b/>
                <w:color w:val="000000"/>
                <w:sz w:val="22"/>
                <w:szCs w:val="22"/>
                <w:lang w:val="en-GB"/>
              </w:rPr>
              <w:t xml:space="preserve"> (ref: vaccination before infection)</w:t>
            </w:r>
          </w:p>
        </w:tc>
        <w:tc>
          <w:tcPr>
            <w:tcW w:w="1842" w:type="dxa"/>
            <w:tcBorders>
              <w:top w:val="single" w:sz="4" w:space="0" w:color="auto"/>
            </w:tcBorders>
            <w:vAlign w:val="center"/>
          </w:tcPr>
          <w:p w14:paraId="13DF8EA6" w14:textId="668F53E2" w:rsidR="0097583E"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w:t>
            </w:r>
            <w:r>
              <w:rPr>
                <w:rFonts w:ascii="Times New Roman" w:hAnsi="Times New Roman" w:cs="Times New Roman"/>
                <w:sz w:val="22"/>
                <w:szCs w:val="22"/>
                <w:lang w:val="en-GB"/>
              </w:rPr>
              <w:t>30</w:t>
            </w:r>
            <w:r>
              <w:rPr>
                <w:rFonts w:ascii="Times New Roman" w:hAnsi="Times New Roman" w:cs="Times New Roman"/>
                <w:sz w:val="22"/>
                <w:szCs w:val="22"/>
                <w:lang w:val="en-GB"/>
              </w:rPr>
              <w:t xml:space="preserve"> (1.0</w:t>
            </w:r>
            <w:r>
              <w:rPr>
                <w:rFonts w:ascii="Times New Roman" w:hAnsi="Times New Roman" w:cs="Times New Roman"/>
                <w:sz w:val="22"/>
                <w:szCs w:val="22"/>
                <w:lang w:val="en-GB"/>
              </w:rPr>
              <w:t>2</w:t>
            </w:r>
            <w:r>
              <w:rPr>
                <w:rFonts w:ascii="Times New Roman" w:hAnsi="Times New Roman" w:cs="Times New Roman"/>
                <w:sz w:val="22"/>
                <w:szCs w:val="22"/>
                <w:lang w:val="en-GB"/>
              </w:rPr>
              <w:t>–1.</w:t>
            </w:r>
            <w:r>
              <w:rPr>
                <w:rFonts w:ascii="Times New Roman" w:hAnsi="Times New Roman" w:cs="Times New Roman"/>
                <w:sz w:val="22"/>
                <w:szCs w:val="22"/>
                <w:lang w:val="en-GB"/>
              </w:rPr>
              <w:t>64</w:t>
            </w:r>
            <w:r>
              <w:rPr>
                <w:rFonts w:ascii="Times New Roman" w:hAnsi="Times New Roman" w:cs="Times New Roman"/>
                <w:sz w:val="22"/>
                <w:szCs w:val="22"/>
                <w:lang w:val="en-GB"/>
              </w:rPr>
              <w:t>)</w:t>
            </w:r>
          </w:p>
        </w:tc>
        <w:tc>
          <w:tcPr>
            <w:tcW w:w="2268" w:type="dxa"/>
            <w:tcBorders>
              <w:top w:val="single" w:sz="4" w:space="0" w:color="auto"/>
            </w:tcBorders>
            <w:vAlign w:val="center"/>
          </w:tcPr>
          <w:p w14:paraId="027021FE" w14:textId="31D7C4B5" w:rsidR="0097583E"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1.2</w:t>
            </w:r>
            <w:r>
              <w:rPr>
                <w:rFonts w:ascii="Times New Roman" w:hAnsi="Times New Roman" w:cs="Times New Roman"/>
                <w:sz w:val="22"/>
                <w:szCs w:val="22"/>
                <w:lang w:val="en-GB"/>
              </w:rPr>
              <w:t>9</w:t>
            </w:r>
            <w:r>
              <w:rPr>
                <w:rFonts w:ascii="Times New Roman" w:hAnsi="Times New Roman" w:cs="Times New Roman"/>
                <w:sz w:val="22"/>
                <w:szCs w:val="22"/>
                <w:lang w:val="en-GB"/>
              </w:rPr>
              <w:t xml:space="preserve"> (1.01–1.</w:t>
            </w:r>
            <w:r>
              <w:rPr>
                <w:rFonts w:ascii="Times New Roman" w:hAnsi="Times New Roman" w:cs="Times New Roman"/>
                <w:sz w:val="22"/>
                <w:szCs w:val="22"/>
                <w:lang w:val="en-GB"/>
              </w:rPr>
              <w:t>63</w:t>
            </w:r>
            <w:r>
              <w:rPr>
                <w:rFonts w:ascii="Times New Roman" w:hAnsi="Times New Roman" w:cs="Times New Roman"/>
                <w:sz w:val="22"/>
                <w:szCs w:val="22"/>
                <w:lang w:val="en-GB"/>
              </w:rPr>
              <w:t>)</w:t>
            </w:r>
          </w:p>
        </w:tc>
      </w:tr>
      <w:tr w:rsidR="0097583E" w:rsidRPr="0097583E" w14:paraId="151B9A2B" w14:textId="77777777" w:rsidTr="006373D4">
        <w:trPr>
          <w:trHeight w:val="99"/>
        </w:trPr>
        <w:tc>
          <w:tcPr>
            <w:tcW w:w="3828" w:type="dxa"/>
            <w:noWrap/>
            <w:vAlign w:val="center"/>
          </w:tcPr>
          <w:p w14:paraId="57D6D235" w14:textId="77777777" w:rsidR="0097583E" w:rsidRPr="0097583E" w:rsidRDefault="0097583E" w:rsidP="00FA6E99">
            <w:pPr>
              <w:spacing w:line="360"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Female sex</w:t>
            </w:r>
          </w:p>
        </w:tc>
        <w:tc>
          <w:tcPr>
            <w:tcW w:w="1842" w:type="dxa"/>
            <w:vAlign w:val="center"/>
          </w:tcPr>
          <w:p w14:paraId="674B1A39" w14:textId="45171834" w:rsidR="0097583E" w:rsidRPr="0097583E" w:rsidRDefault="0097583E"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w:t>
            </w:r>
            <w:r w:rsidR="006373D4">
              <w:rPr>
                <w:rFonts w:ascii="Times New Roman" w:hAnsi="Times New Roman" w:cs="Times New Roman"/>
                <w:sz w:val="22"/>
                <w:szCs w:val="22"/>
                <w:lang w:val="en-GB"/>
              </w:rPr>
              <w:t>21</w:t>
            </w:r>
            <w:r>
              <w:rPr>
                <w:rFonts w:ascii="Times New Roman" w:hAnsi="Times New Roman" w:cs="Times New Roman"/>
                <w:sz w:val="22"/>
                <w:szCs w:val="22"/>
                <w:lang w:val="en-GB"/>
              </w:rPr>
              <w:t xml:space="preserve"> (</w:t>
            </w:r>
            <w:r w:rsidR="006373D4">
              <w:rPr>
                <w:rFonts w:ascii="Times New Roman" w:hAnsi="Times New Roman" w:cs="Times New Roman"/>
                <w:sz w:val="22"/>
                <w:szCs w:val="22"/>
                <w:lang w:val="en-GB"/>
              </w:rPr>
              <w:t>0.99</w:t>
            </w:r>
            <w:r>
              <w:rPr>
                <w:rFonts w:ascii="Times New Roman" w:hAnsi="Times New Roman" w:cs="Times New Roman"/>
                <w:sz w:val="22"/>
                <w:szCs w:val="22"/>
                <w:lang w:val="en-GB"/>
              </w:rPr>
              <w:t>–1.</w:t>
            </w:r>
            <w:r w:rsidR="006373D4">
              <w:rPr>
                <w:rFonts w:ascii="Times New Roman" w:hAnsi="Times New Roman" w:cs="Times New Roman"/>
                <w:sz w:val="22"/>
                <w:szCs w:val="22"/>
                <w:lang w:val="en-GB"/>
              </w:rPr>
              <w:t>47</w:t>
            </w:r>
            <w:r>
              <w:rPr>
                <w:rFonts w:ascii="Times New Roman" w:hAnsi="Times New Roman" w:cs="Times New Roman"/>
                <w:sz w:val="22"/>
                <w:szCs w:val="22"/>
                <w:lang w:val="en-GB"/>
              </w:rPr>
              <w:t>)</w:t>
            </w:r>
          </w:p>
        </w:tc>
        <w:tc>
          <w:tcPr>
            <w:tcW w:w="2268" w:type="dxa"/>
            <w:vAlign w:val="center"/>
          </w:tcPr>
          <w:p w14:paraId="4739F292" w14:textId="31F22910" w:rsidR="0097583E" w:rsidRPr="0097583E" w:rsidRDefault="0097583E"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1.2</w:t>
            </w:r>
            <w:r w:rsidR="006373D4">
              <w:rPr>
                <w:rFonts w:ascii="Times New Roman" w:hAnsi="Times New Roman" w:cs="Times New Roman"/>
                <w:sz w:val="22"/>
                <w:szCs w:val="22"/>
                <w:lang w:val="en-GB"/>
              </w:rPr>
              <w:t>2</w:t>
            </w:r>
            <w:r>
              <w:rPr>
                <w:rFonts w:ascii="Times New Roman" w:hAnsi="Times New Roman" w:cs="Times New Roman"/>
                <w:sz w:val="22"/>
                <w:szCs w:val="22"/>
                <w:lang w:val="en-GB"/>
              </w:rPr>
              <w:t xml:space="preserve"> (1.0</w:t>
            </w:r>
            <w:r w:rsidR="006373D4">
              <w:rPr>
                <w:rFonts w:ascii="Times New Roman" w:hAnsi="Times New Roman" w:cs="Times New Roman"/>
                <w:sz w:val="22"/>
                <w:szCs w:val="22"/>
                <w:lang w:val="en-GB"/>
              </w:rPr>
              <w:t>1</w:t>
            </w:r>
            <w:r>
              <w:rPr>
                <w:rFonts w:ascii="Times New Roman" w:hAnsi="Times New Roman" w:cs="Times New Roman"/>
                <w:sz w:val="22"/>
                <w:szCs w:val="22"/>
                <w:lang w:val="en-GB"/>
              </w:rPr>
              <w:t>–1.</w:t>
            </w:r>
            <w:r w:rsidR="006373D4">
              <w:rPr>
                <w:rFonts w:ascii="Times New Roman" w:hAnsi="Times New Roman" w:cs="Times New Roman"/>
                <w:sz w:val="22"/>
                <w:szCs w:val="22"/>
                <w:lang w:val="en-GB"/>
              </w:rPr>
              <w:t>48</w:t>
            </w:r>
            <w:r>
              <w:rPr>
                <w:rFonts w:ascii="Times New Roman" w:hAnsi="Times New Roman" w:cs="Times New Roman"/>
                <w:sz w:val="22"/>
                <w:szCs w:val="22"/>
                <w:lang w:val="en-GB"/>
              </w:rPr>
              <w:t>)</w:t>
            </w:r>
          </w:p>
        </w:tc>
      </w:tr>
      <w:tr w:rsidR="0097583E" w:rsidRPr="0097583E" w14:paraId="6B293A99" w14:textId="77777777" w:rsidTr="006373D4">
        <w:trPr>
          <w:trHeight w:val="99"/>
        </w:trPr>
        <w:tc>
          <w:tcPr>
            <w:tcW w:w="3828" w:type="dxa"/>
            <w:tcBorders>
              <w:bottom w:val="single" w:sz="4" w:space="0" w:color="auto"/>
            </w:tcBorders>
            <w:noWrap/>
            <w:vAlign w:val="center"/>
          </w:tcPr>
          <w:p w14:paraId="75D775AE" w14:textId="77777777" w:rsidR="0097583E" w:rsidRPr="0097583E" w:rsidRDefault="0097583E" w:rsidP="00FA6E99">
            <w:pPr>
              <w:spacing w:line="360"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 xml:space="preserve">No other comorbidities (vs. </w:t>
            </w:r>
            <w:r w:rsidRPr="0097583E">
              <w:rPr>
                <w:rFonts w:ascii="Times New Roman" w:hAnsi="Times New Roman" w:cs="Times New Roman"/>
                <w:b/>
                <w:color w:val="000000"/>
                <w:sz w:val="22"/>
                <w:szCs w:val="22"/>
                <w:lang w:val="en-GB"/>
              </w:rPr>
              <w:sym w:font="Symbol" w:char="F0B3"/>
            </w:r>
            <w:r w:rsidRPr="0097583E">
              <w:rPr>
                <w:rFonts w:ascii="Times New Roman" w:hAnsi="Times New Roman" w:cs="Times New Roman"/>
                <w:b/>
                <w:color w:val="000000"/>
                <w:sz w:val="22"/>
                <w:szCs w:val="22"/>
                <w:lang w:val="en-GB"/>
              </w:rPr>
              <w:t>1)</w:t>
            </w:r>
          </w:p>
        </w:tc>
        <w:tc>
          <w:tcPr>
            <w:tcW w:w="1842" w:type="dxa"/>
            <w:tcBorders>
              <w:bottom w:val="single" w:sz="4" w:space="0" w:color="auto"/>
            </w:tcBorders>
            <w:vAlign w:val="center"/>
          </w:tcPr>
          <w:p w14:paraId="65CA9C34" w14:textId="2A14888B" w:rsidR="0097583E" w:rsidRPr="0097583E" w:rsidRDefault="0097583E"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0.8</w:t>
            </w:r>
            <w:r w:rsidR="006373D4">
              <w:rPr>
                <w:rFonts w:ascii="Times New Roman" w:hAnsi="Times New Roman" w:cs="Times New Roman"/>
                <w:sz w:val="22"/>
                <w:szCs w:val="22"/>
                <w:lang w:val="en-GB"/>
              </w:rPr>
              <w:t>3</w:t>
            </w:r>
            <w:r>
              <w:rPr>
                <w:rFonts w:ascii="Times New Roman" w:hAnsi="Times New Roman" w:cs="Times New Roman"/>
                <w:sz w:val="22"/>
                <w:szCs w:val="22"/>
                <w:lang w:val="en-GB"/>
              </w:rPr>
              <w:t xml:space="preserve"> (0.7</w:t>
            </w:r>
            <w:r w:rsidR="006373D4">
              <w:rPr>
                <w:rFonts w:ascii="Times New Roman" w:hAnsi="Times New Roman" w:cs="Times New Roman"/>
                <w:sz w:val="22"/>
                <w:szCs w:val="22"/>
                <w:lang w:val="en-GB"/>
              </w:rPr>
              <w:t>0</w:t>
            </w:r>
            <w:r>
              <w:rPr>
                <w:rFonts w:ascii="Times New Roman" w:hAnsi="Times New Roman" w:cs="Times New Roman"/>
                <w:sz w:val="22"/>
                <w:szCs w:val="22"/>
                <w:lang w:val="en-GB"/>
              </w:rPr>
              <w:t>–0.9</w:t>
            </w:r>
            <w:r w:rsidR="006373D4">
              <w:rPr>
                <w:rFonts w:ascii="Times New Roman" w:hAnsi="Times New Roman" w:cs="Times New Roman"/>
                <w:sz w:val="22"/>
                <w:szCs w:val="22"/>
                <w:lang w:val="en-GB"/>
              </w:rPr>
              <w:t>8</w:t>
            </w:r>
            <w:r>
              <w:rPr>
                <w:rFonts w:ascii="Times New Roman" w:hAnsi="Times New Roman" w:cs="Times New Roman"/>
                <w:sz w:val="22"/>
                <w:szCs w:val="22"/>
                <w:lang w:val="en-GB"/>
              </w:rPr>
              <w:t>)</w:t>
            </w:r>
          </w:p>
        </w:tc>
        <w:tc>
          <w:tcPr>
            <w:tcW w:w="2268" w:type="dxa"/>
            <w:tcBorders>
              <w:bottom w:val="single" w:sz="4" w:space="0" w:color="auto"/>
            </w:tcBorders>
            <w:vAlign w:val="center"/>
          </w:tcPr>
          <w:p w14:paraId="28D76ACE" w14:textId="7DCD3ADF" w:rsidR="0097583E" w:rsidRPr="0097583E" w:rsidRDefault="0097583E"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w:t>
            </w:r>
            <w:r w:rsidR="006373D4">
              <w:rPr>
                <w:rFonts w:ascii="Times New Roman" w:hAnsi="Times New Roman" w:cs="Times New Roman"/>
                <w:sz w:val="22"/>
                <w:szCs w:val="22"/>
                <w:lang w:val="en-GB"/>
              </w:rPr>
              <w:t>84</w:t>
            </w:r>
            <w:r>
              <w:rPr>
                <w:rFonts w:ascii="Times New Roman" w:hAnsi="Times New Roman" w:cs="Times New Roman"/>
                <w:sz w:val="22"/>
                <w:szCs w:val="22"/>
                <w:lang w:val="en-GB"/>
              </w:rPr>
              <w:t xml:space="preserve"> (0.71–0.99)</w:t>
            </w:r>
          </w:p>
        </w:tc>
      </w:tr>
    </w:tbl>
    <w:p w14:paraId="631A6076" w14:textId="77777777" w:rsidR="0097583E" w:rsidRPr="00701B53" w:rsidRDefault="0097583E" w:rsidP="0097583E">
      <w:pPr>
        <w:spacing w:line="480" w:lineRule="auto"/>
        <w:jc w:val="both"/>
        <w:rPr>
          <w:rFonts w:ascii="Times New Roman" w:hAnsi="Times New Roman" w:cs="Times New Roman"/>
          <w:lang w:val="en-US"/>
        </w:rPr>
      </w:pPr>
    </w:p>
    <w:p w14:paraId="64BF1242" w14:textId="6A76841F" w:rsidR="006373D4" w:rsidRPr="0097583E" w:rsidRDefault="006373D4" w:rsidP="006373D4">
      <w:pPr>
        <w:spacing w:after="0" w:line="480" w:lineRule="auto"/>
        <w:jc w:val="both"/>
        <w:rPr>
          <w:rFonts w:ascii="Times New Roman" w:hAnsi="Times New Roman" w:cs="Times New Roman"/>
          <w:b/>
          <w:bCs/>
          <w:lang w:val="en-US"/>
        </w:rPr>
      </w:pPr>
      <w:r w:rsidRPr="0097583E">
        <w:rPr>
          <w:rFonts w:ascii="Times New Roman" w:hAnsi="Times New Roman" w:cs="Times New Roman"/>
          <w:b/>
          <w:bCs/>
          <w:lang w:val="en-US"/>
        </w:rPr>
        <w:t>Table S</w:t>
      </w:r>
      <w:r>
        <w:rPr>
          <w:rFonts w:ascii="Times New Roman" w:hAnsi="Times New Roman" w:cs="Times New Roman"/>
          <w:b/>
          <w:bCs/>
          <w:lang w:val="en-US"/>
        </w:rPr>
        <w:t>3</w:t>
      </w:r>
      <w:r w:rsidRPr="0097583E">
        <w:rPr>
          <w:rFonts w:ascii="Times New Roman" w:hAnsi="Times New Roman" w:cs="Times New Roman"/>
          <w:b/>
          <w:bCs/>
          <w:lang w:val="en-US"/>
        </w:rPr>
        <w:t xml:space="preserve">. Comparison of IRR (95% CI) for </w:t>
      </w:r>
      <w:r>
        <w:rPr>
          <w:rFonts w:ascii="Times New Roman" w:hAnsi="Times New Roman" w:cs="Times New Roman"/>
          <w:b/>
          <w:bCs/>
          <w:lang w:val="en-US"/>
        </w:rPr>
        <w:t xml:space="preserve">body system function </w:t>
      </w:r>
      <w:r>
        <w:rPr>
          <w:rFonts w:ascii="Times New Roman" w:hAnsi="Times New Roman" w:cs="Times New Roman"/>
          <w:b/>
          <w:bCs/>
          <w:lang w:val="en-US"/>
        </w:rPr>
        <w:t>complaints</w:t>
      </w:r>
      <w:r w:rsidRPr="0097583E">
        <w:rPr>
          <w:rFonts w:ascii="Times New Roman" w:hAnsi="Times New Roman" w:cs="Times New Roman"/>
          <w:b/>
          <w:bCs/>
          <w:lang w:val="en-US"/>
        </w:rPr>
        <w:t xml:space="preserve"> (</w:t>
      </w:r>
      <w:r>
        <w:rPr>
          <w:rFonts w:ascii="Times New Roman" w:hAnsi="Times New Roman" w:cs="Times New Roman"/>
          <w:b/>
          <w:bCs/>
          <w:lang w:val="en-US"/>
        </w:rPr>
        <w:t>10</w:t>
      </w:r>
      <w:r w:rsidRPr="0097583E">
        <w:rPr>
          <w:rFonts w:ascii="Times New Roman" w:hAnsi="Times New Roman" w:cs="Times New Roman"/>
          <w:b/>
          <w:bCs/>
          <w:lang w:val="en-US"/>
        </w:rPr>
        <w:t xml:space="preserve"> items)</w:t>
      </w:r>
    </w:p>
    <w:tbl>
      <w:tblPr>
        <w:tblW w:w="0" w:type="auto"/>
        <w:tblLook w:val="04A0" w:firstRow="1" w:lastRow="0" w:firstColumn="1" w:lastColumn="0" w:noHBand="0" w:noVBand="1"/>
      </w:tblPr>
      <w:tblGrid>
        <w:gridCol w:w="3828"/>
        <w:gridCol w:w="1842"/>
        <w:gridCol w:w="2268"/>
      </w:tblGrid>
      <w:tr w:rsidR="006373D4" w:rsidRPr="0097583E" w14:paraId="5351FF9B" w14:textId="77777777" w:rsidTr="00FA6E99">
        <w:trPr>
          <w:trHeight w:val="423"/>
        </w:trPr>
        <w:tc>
          <w:tcPr>
            <w:tcW w:w="3828" w:type="dxa"/>
            <w:tcBorders>
              <w:top w:val="single" w:sz="4" w:space="0" w:color="auto"/>
              <w:bottom w:val="single" w:sz="4" w:space="0" w:color="auto"/>
            </w:tcBorders>
            <w:noWrap/>
            <w:vAlign w:val="center"/>
          </w:tcPr>
          <w:p w14:paraId="112C560E" w14:textId="77777777" w:rsidR="006373D4" w:rsidRPr="0097583E" w:rsidRDefault="006373D4" w:rsidP="00FA6E99">
            <w:pPr>
              <w:spacing w:after="0" w:line="276"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Variable</w:t>
            </w:r>
          </w:p>
        </w:tc>
        <w:tc>
          <w:tcPr>
            <w:tcW w:w="1842" w:type="dxa"/>
            <w:tcBorders>
              <w:top w:val="single" w:sz="4" w:space="0" w:color="auto"/>
              <w:bottom w:val="single" w:sz="4" w:space="0" w:color="auto"/>
            </w:tcBorders>
            <w:vAlign w:val="center"/>
          </w:tcPr>
          <w:p w14:paraId="6CEE1606" w14:textId="77777777" w:rsidR="006373D4" w:rsidRDefault="006373D4"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 xml:space="preserve">Complete case </w:t>
            </w:r>
          </w:p>
          <w:p w14:paraId="04CFD434" w14:textId="77777777" w:rsidR="006373D4" w:rsidRPr="0097583E" w:rsidRDefault="006373D4"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(n=412)</w:t>
            </w:r>
          </w:p>
        </w:tc>
        <w:tc>
          <w:tcPr>
            <w:tcW w:w="2268" w:type="dxa"/>
            <w:tcBorders>
              <w:top w:val="single" w:sz="4" w:space="0" w:color="auto"/>
              <w:bottom w:val="single" w:sz="4" w:space="0" w:color="auto"/>
            </w:tcBorders>
            <w:vAlign w:val="center"/>
          </w:tcPr>
          <w:p w14:paraId="340C7149" w14:textId="77777777" w:rsidR="006373D4" w:rsidRDefault="006373D4"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KNN imputation</w:t>
            </w:r>
          </w:p>
          <w:p w14:paraId="5C62BF4E" w14:textId="77777777" w:rsidR="006373D4" w:rsidRPr="0097583E" w:rsidRDefault="006373D4"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(n=420)</w:t>
            </w:r>
          </w:p>
        </w:tc>
      </w:tr>
      <w:tr w:rsidR="006373D4" w:rsidRPr="0097583E" w14:paraId="6F530035" w14:textId="77777777" w:rsidTr="006373D4">
        <w:trPr>
          <w:trHeight w:val="224"/>
        </w:trPr>
        <w:tc>
          <w:tcPr>
            <w:tcW w:w="3828" w:type="dxa"/>
            <w:tcBorders>
              <w:top w:val="single" w:sz="4" w:space="0" w:color="auto"/>
            </w:tcBorders>
            <w:noWrap/>
            <w:vAlign w:val="center"/>
          </w:tcPr>
          <w:p w14:paraId="0BC7C935" w14:textId="77777777" w:rsidR="006373D4" w:rsidRPr="0097583E" w:rsidRDefault="006373D4" w:rsidP="00FA6E99">
            <w:pPr>
              <w:spacing w:line="360" w:lineRule="auto"/>
              <w:rPr>
                <w:rFonts w:ascii="Times New Roman" w:hAnsi="Times New Roman" w:cs="Times New Roman"/>
                <w:b/>
                <w:color w:val="000000"/>
                <w:sz w:val="22"/>
                <w:szCs w:val="22"/>
                <w:vertAlign w:val="superscript"/>
                <w:lang w:val="en-GB"/>
              </w:rPr>
            </w:pPr>
            <w:r>
              <w:rPr>
                <w:rFonts w:ascii="Times New Roman" w:hAnsi="Times New Roman" w:cs="Times New Roman"/>
                <w:b/>
                <w:color w:val="000000"/>
                <w:sz w:val="22"/>
                <w:szCs w:val="22"/>
                <w:lang w:val="en-GB"/>
              </w:rPr>
              <w:t>Never vaccinated (ref: vaccination before infection)</w:t>
            </w:r>
          </w:p>
        </w:tc>
        <w:tc>
          <w:tcPr>
            <w:tcW w:w="1842" w:type="dxa"/>
            <w:tcBorders>
              <w:top w:val="single" w:sz="4" w:space="0" w:color="auto"/>
            </w:tcBorders>
            <w:vAlign w:val="center"/>
          </w:tcPr>
          <w:p w14:paraId="0A7EBF50" w14:textId="43A7C876" w:rsidR="006373D4"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w:t>
            </w:r>
            <w:r>
              <w:rPr>
                <w:rFonts w:ascii="Times New Roman" w:hAnsi="Times New Roman" w:cs="Times New Roman"/>
                <w:sz w:val="22"/>
                <w:szCs w:val="22"/>
                <w:lang w:val="en-GB"/>
              </w:rPr>
              <w:t>98</w:t>
            </w:r>
            <w:r>
              <w:rPr>
                <w:rFonts w:ascii="Times New Roman" w:hAnsi="Times New Roman" w:cs="Times New Roman"/>
                <w:sz w:val="22"/>
                <w:szCs w:val="22"/>
                <w:lang w:val="en-GB"/>
              </w:rPr>
              <w:t xml:space="preserve"> (1.</w:t>
            </w:r>
            <w:r>
              <w:rPr>
                <w:rFonts w:ascii="Times New Roman" w:hAnsi="Times New Roman" w:cs="Times New Roman"/>
                <w:sz w:val="22"/>
                <w:szCs w:val="22"/>
                <w:lang w:val="en-GB"/>
              </w:rPr>
              <w:t>17</w:t>
            </w:r>
            <w:r>
              <w:rPr>
                <w:rFonts w:ascii="Times New Roman" w:hAnsi="Times New Roman" w:cs="Times New Roman"/>
                <w:sz w:val="22"/>
                <w:szCs w:val="22"/>
                <w:lang w:val="en-GB"/>
              </w:rPr>
              <w:t>–</w:t>
            </w:r>
            <w:r>
              <w:rPr>
                <w:rFonts w:ascii="Times New Roman" w:hAnsi="Times New Roman" w:cs="Times New Roman"/>
                <w:sz w:val="22"/>
                <w:szCs w:val="22"/>
                <w:lang w:val="en-GB"/>
              </w:rPr>
              <w:t>3.36</w:t>
            </w:r>
            <w:r>
              <w:rPr>
                <w:rFonts w:ascii="Times New Roman" w:hAnsi="Times New Roman" w:cs="Times New Roman"/>
                <w:sz w:val="22"/>
                <w:szCs w:val="22"/>
                <w:lang w:val="en-GB"/>
              </w:rPr>
              <w:t>)</w:t>
            </w:r>
          </w:p>
        </w:tc>
        <w:tc>
          <w:tcPr>
            <w:tcW w:w="2268" w:type="dxa"/>
            <w:tcBorders>
              <w:top w:val="single" w:sz="4" w:space="0" w:color="auto"/>
            </w:tcBorders>
            <w:vAlign w:val="center"/>
          </w:tcPr>
          <w:p w14:paraId="3B7E175C" w14:textId="1A5B21DA" w:rsidR="006373D4"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w:t>
            </w:r>
            <w:r>
              <w:rPr>
                <w:rFonts w:ascii="Times New Roman" w:hAnsi="Times New Roman" w:cs="Times New Roman"/>
                <w:sz w:val="22"/>
                <w:szCs w:val="22"/>
                <w:lang w:val="en-GB"/>
              </w:rPr>
              <w:t>97</w:t>
            </w:r>
            <w:r>
              <w:rPr>
                <w:rFonts w:ascii="Times New Roman" w:hAnsi="Times New Roman" w:cs="Times New Roman"/>
                <w:sz w:val="22"/>
                <w:szCs w:val="22"/>
                <w:lang w:val="en-GB"/>
              </w:rPr>
              <w:t xml:space="preserve"> (1.</w:t>
            </w:r>
            <w:r>
              <w:rPr>
                <w:rFonts w:ascii="Times New Roman" w:hAnsi="Times New Roman" w:cs="Times New Roman"/>
                <w:sz w:val="22"/>
                <w:szCs w:val="22"/>
                <w:lang w:val="en-GB"/>
              </w:rPr>
              <w:t>18</w:t>
            </w:r>
            <w:r>
              <w:rPr>
                <w:rFonts w:ascii="Times New Roman" w:hAnsi="Times New Roman" w:cs="Times New Roman"/>
                <w:sz w:val="22"/>
                <w:szCs w:val="22"/>
                <w:lang w:val="en-GB"/>
              </w:rPr>
              <w:t>–</w:t>
            </w:r>
            <w:r>
              <w:rPr>
                <w:rFonts w:ascii="Times New Roman" w:hAnsi="Times New Roman" w:cs="Times New Roman"/>
                <w:sz w:val="22"/>
                <w:szCs w:val="22"/>
                <w:lang w:val="en-GB"/>
              </w:rPr>
              <w:t>3.33</w:t>
            </w:r>
            <w:r>
              <w:rPr>
                <w:rFonts w:ascii="Times New Roman" w:hAnsi="Times New Roman" w:cs="Times New Roman"/>
                <w:sz w:val="22"/>
                <w:szCs w:val="22"/>
                <w:lang w:val="en-GB"/>
              </w:rPr>
              <w:t>)</w:t>
            </w:r>
          </w:p>
        </w:tc>
      </w:tr>
      <w:tr w:rsidR="006373D4" w:rsidRPr="0097583E" w14:paraId="4598B7FE" w14:textId="77777777" w:rsidTr="006373D4">
        <w:trPr>
          <w:trHeight w:val="99"/>
        </w:trPr>
        <w:tc>
          <w:tcPr>
            <w:tcW w:w="3828" w:type="dxa"/>
            <w:tcBorders>
              <w:bottom w:val="single" w:sz="4" w:space="0" w:color="auto"/>
            </w:tcBorders>
            <w:noWrap/>
            <w:vAlign w:val="center"/>
          </w:tcPr>
          <w:p w14:paraId="5E3BDEA6" w14:textId="7835D0EF" w:rsidR="006373D4" w:rsidRPr="0097583E" w:rsidRDefault="006373D4" w:rsidP="00FA6E99">
            <w:pPr>
              <w:spacing w:line="360"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Secondary education</w:t>
            </w:r>
          </w:p>
        </w:tc>
        <w:tc>
          <w:tcPr>
            <w:tcW w:w="1842" w:type="dxa"/>
            <w:tcBorders>
              <w:bottom w:val="single" w:sz="4" w:space="0" w:color="auto"/>
            </w:tcBorders>
            <w:vAlign w:val="center"/>
          </w:tcPr>
          <w:p w14:paraId="39D967A3" w14:textId="5FE531A5" w:rsidR="006373D4"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0.65</w:t>
            </w:r>
            <w:r>
              <w:rPr>
                <w:rFonts w:ascii="Times New Roman" w:hAnsi="Times New Roman" w:cs="Times New Roman"/>
                <w:sz w:val="22"/>
                <w:szCs w:val="22"/>
                <w:lang w:val="en-GB"/>
              </w:rPr>
              <w:t xml:space="preserve"> (0.</w:t>
            </w:r>
            <w:r>
              <w:rPr>
                <w:rFonts w:ascii="Times New Roman" w:hAnsi="Times New Roman" w:cs="Times New Roman"/>
                <w:sz w:val="22"/>
                <w:szCs w:val="22"/>
                <w:lang w:val="en-GB"/>
              </w:rPr>
              <w:t>45</w:t>
            </w:r>
            <w:r>
              <w:rPr>
                <w:rFonts w:ascii="Times New Roman" w:hAnsi="Times New Roman" w:cs="Times New Roman"/>
                <w:sz w:val="22"/>
                <w:szCs w:val="22"/>
                <w:lang w:val="en-GB"/>
              </w:rPr>
              <w:t>–</w:t>
            </w:r>
            <w:r>
              <w:rPr>
                <w:rFonts w:ascii="Times New Roman" w:hAnsi="Times New Roman" w:cs="Times New Roman"/>
                <w:sz w:val="22"/>
                <w:szCs w:val="22"/>
                <w:lang w:val="en-GB"/>
              </w:rPr>
              <w:t>0.94</w:t>
            </w:r>
            <w:r>
              <w:rPr>
                <w:rFonts w:ascii="Times New Roman" w:hAnsi="Times New Roman" w:cs="Times New Roman"/>
                <w:sz w:val="22"/>
                <w:szCs w:val="22"/>
                <w:lang w:val="en-GB"/>
              </w:rPr>
              <w:t>)</w:t>
            </w:r>
          </w:p>
        </w:tc>
        <w:tc>
          <w:tcPr>
            <w:tcW w:w="2268" w:type="dxa"/>
            <w:tcBorders>
              <w:bottom w:val="single" w:sz="4" w:space="0" w:color="auto"/>
            </w:tcBorders>
            <w:vAlign w:val="center"/>
          </w:tcPr>
          <w:p w14:paraId="6469B02E" w14:textId="01430322" w:rsidR="006373D4"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0.6</w:t>
            </w:r>
            <w:r>
              <w:rPr>
                <w:rFonts w:ascii="Times New Roman" w:hAnsi="Times New Roman" w:cs="Times New Roman"/>
                <w:sz w:val="22"/>
                <w:szCs w:val="22"/>
                <w:lang w:val="en-GB"/>
              </w:rPr>
              <w:t>6</w:t>
            </w:r>
            <w:r>
              <w:rPr>
                <w:rFonts w:ascii="Times New Roman" w:hAnsi="Times New Roman" w:cs="Times New Roman"/>
                <w:sz w:val="22"/>
                <w:szCs w:val="22"/>
                <w:lang w:val="en-GB"/>
              </w:rPr>
              <w:t xml:space="preserve"> (0.4</w:t>
            </w:r>
            <w:r>
              <w:rPr>
                <w:rFonts w:ascii="Times New Roman" w:hAnsi="Times New Roman" w:cs="Times New Roman"/>
                <w:sz w:val="22"/>
                <w:szCs w:val="22"/>
                <w:lang w:val="en-GB"/>
              </w:rPr>
              <w:t>6</w:t>
            </w:r>
            <w:r>
              <w:rPr>
                <w:rFonts w:ascii="Times New Roman" w:hAnsi="Times New Roman" w:cs="Times New Roman"/>
                <w:sz w:val="22"/>
                <w:szCs w:val="22"/>
                <w:lang w:val="en-GB"/>
              </w:rPr>
              <w:t>–0.9</w:t>
            </w:r>
            <w:r>
              <w:rPr>
                <w:rFonts w:ascii="Times New Roman" w:hAnsi="Times New Roman" w:cs="Times New Roman"/>
                <w:sz w:val="22"/>
                <w:szCs w:val="22"/>
                <w:lang w:val="en-GB"/>
              </w:rPr>
              <w:t>6</w:t>
            </w:r>
            <w:r>
              <w:rPr>
                <w:rFonts w:ascii="Times New Roman" w:hAnsi="Times New Roman" w:cs="Times New Roman"/>
                <w:sz w:val="22"/>
                <w:szCs w:val="22"/>
                <w:lang w:val="en-GB"/>
              </w:rPr>
              <w:t>)</w:t>
            </w:r>
          </w:p>
        </w:tc>
      </w:tr>
    </w:tbl>
    <w:p w14:paraId="7F1007BF" w14:textId="77777777" w:rsidR="006373D4" w:rsidRDefault="006373D4" w:rsidP="006373D4">
      <w:pPr>
        <w:spacing w:line="480" w:lineRule="auto"/>
        <w:jc w:val="both"/>
        <w:rPr>
          <w:rFonts w:ascii="Times New Roman" w:hAnsi="Times New Roman" w:cs="Times New Roman"/>
          <w:lang w:val="en-US"/>
        </w:rPr>
      </w:pPr>
    </w:p>
    <w:p w14:paraId="1638B62E" w14:textId="57DB1F2C" w:rsidR="006373D4" w:rsidRPr="0097583E" w:rsidRDefault="006373D4" w:rsidP="006373D4">
      <w:pPr>
        <w:spacing w:after="0" w:line="480" w:lineRule="auto"/>
        <w:jc w:val="both"/>
        <w:rPr>
          <w:rFonts w:ascii="Times New Roman" w:hAnsi="Times New Roman" w:cs="Times New Roman"/>
          <w:b/>
          <w:bCs/>
          <w:lang w:val="en-US"/>
        </w:rPr>
      </w:pPr>
      <w:r w:rsidRPr="0097583E">
        <w:rPr>
          <w:rFonts w:ascii="Times New Roman" w:hAnsi="Times New Roman" w:cs="Times New Roman"/>
          <w:b/>
          <w:bCs/>
          <w:lang w:val="en-US"/>
        </w:rPr>
        <w:t>Table S</w:t>
      </w:r>
      <w:r>
        <w:rPr>
          <w:rFonts w:ascii="Times New Roman" w:hAnsi="Times New Roman" w:cs="Times New Roman"/>
          <w:b/>
          <w:bCs/>
          <w:lang w:val="en-US"/>
        </w:rPr>
        <w:t>4</w:t>
      </w:r>
      <w:r w:rsidRPr="0097583E">
        <w:rPr>
          <w:rFonts w:ascii="Times New Roman" w:hAnsi="Times New Roman" w:cs="Times New Roman"/>
          <w:b/>
          <w:bCs/>
          <w:lang w:val="en-US"/>
        </w:rPr>
        <w:t xml:space="preserve">. Comparison of IRR (95% CI) for </w:t>
      </w:r>
      <w:r>
        <w:rPr>
          <w:rFonts w:ascii="Times New Roman" w:hAnsi="Times New Roman" w:cs="Times New Roman"/>
          <w:b/>
          <w:bCs/>
          <w:lang w:val="en-US"/>
        </w:rPr>
        <w:t>activity participation</w:t>
      </w:r>
      <w:r>
        <w:rPr>
          <w:rFonts w:ascii="Times New Roman" w:hAnsi="Times New Roman" w:cs="Times New Roman"/>
          <w:b/>
          <w:bCs/>
          <w:lang w:val="en-US"/>
        </w:rPr>
        <w:t xml:space="preserve"> complaints</w:t>
      </w:r>
      <w:r w:rsidRPr="0097583E">
        <w:rPr>
          <w:rFonts w:ascii="Times New Roman" w:hAnsi="Times New Roman" w:cs="Times New Roman"/>
          <w:b/>
          <w:bCs/>
          <w:lang w:val="en-US"/>
        </w:rPr>
        <w:t xml:space="preserve"> (</w:t>
      </w:r>
      <w:r>
        <w:rPr>
          <w:rFonts w:ascii="Times New Roman" w:hAnsi="Times New Roman" w:cs="Times New Roman"/>
          <w:b/>
          <w:bCs/>
          <w:lang w:val="en-US"/>
        </w:rPr>
        <w:t>6</w:t>
      </w:r>
      <w:r w:rsidRPr="0097583E">
        <w:rPr>
          <w:rFonts w:ascii="Times New Roman" w:hAnsi="Times New Roman" w:cs="Times New Roman"/>
          <w:b/>
          <w:bCs/>
          <w:lang w:val="en-US"/>
        </w:rPr>
        <w:t xml:space="preserve"> items)</w:t>
      </w:r>
    </w:p>
    <w:tbl>
      <w:tblPr>
        <w:tblW w:w="0" w:type="auto"/>
        <w:tblLook w:val="04A0" w:firstRow="1" w:lastRow="0" w:firstColumn="1" w:lastColumn="0" w:noHBand="0" w:noVBand="1"/>
      </w:tblPr>
      <w:tblGrid>
        <w:gridCol w:w="3828"/>
        <w:gridCol w:w="1842"/>
        <w:gridCol w:w="2268"/>
      </w:tblGrid>
      <w:tr w:rsidR="006373D4" w:rsidRPr="0097583E" w14:paraId="6B613214" w14:textId="77777777" w:rsidTr="00FA6E99">
        <w:trPr>
          <w:trHeight w:val="423"/>
        </w:trPr>
        <w:tc>
          <w:tcPr>
            <w:tcW w:w="3828" w:type="dxa"/>
            <w:tcBorders>
              <w:top w:val="single" w:sz="4" w:space="0" w:color="auto"/>
              <w:bottom w:val="single" w:sz="4" w:space="0" w:color="auto"/>
            </w:tcBorders>
            <w:noWrap/>
            <w:vAlign w:val="center"/>
          </w:tcPr>
          <w:p w14:paraId="18B1B597" w14:textId="77777777" w:rsidR="006373D4" w:rsidRPr="0097583E" w:rsidRDefault="006373D4" w:rsidP="00FA6E99">
            <w:pPr>
              <w:spacing w:after="0" w:line="276"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Variable</w:t>
            </w:r>
          </w:p>
        </w:tc>
        <w:tc>
          <w:tcPr>
            <w:tcW w:w="1842" w:type="dxa"/>
            <w:tcBorders>
              <w:top w:val="single" w:sz="4" w:space="0" w:color="auto"/>
              <w:bottom w:val="single" w:sz="4" w:space="0" w:color="auto"/>
            </w:tcBorders>
            <w:vAlign w:val="center"/>
          </w:tcPr>
          <w:p w14:paraId="74902224" w14:textId="77777777" w:rsidR="006373D4" w:rsidRDefault="006373D4"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 xml:space="preserve">Complete case </w:t>
            </w:r>
          </w:p>
          <w:p w14:paraId="587AB96F" w14:textId="77777777" w:rsidR="006373D4" w:rsidRPr="0097583E" w:rsidRDefault="006373D4"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(n=412)</w:t>
            </w:r>
          </w:p>
        </w:tc>
        <w:tc>
          <w:tcPr>
            <w:tcW w:w="2268" w:type="dxa"/>
            <w:tcBorders>
              <w:top w:val="single" w:sz="4" w:space="0" w:color="auto"/>
              <w:bottom w:val="single" w:sz="4" w:space="0" w:color="auto"/>
            </w:tcBorders>
            <w:vAlign w:val="center"/>
          </w:tcPr>
          <w:p w14:paraId="7728C8FD" w14:textId="77777777" w:rsidR="006373D4" w:rsidRDefault="006373D4"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KNN imputation</w:t>
            </w:r>
          </w:p>
          <w:p w14:paraId="72B380CD" w14:textId="77777777" w:rsidR="006373D4" w:rsidRPr="0097583E" w:rsidRDefault="006373D4" w:rsidP="00FA6E99">
            <w:pPr>
              <w:spacing w:after="0" w:line="276" w:lineRule="auto"/>
              <w:rPr>
                <w:rFonts w:ascii="Times New Roman" w:hAnsi="Times New Roman" w:cs="Times New Roman"/>
                <w:b/>
                <w:color w:val="000000"/>
                <w:sz w:val="22"/>
                <w:szCs w:val="22"/>
                <w:lang w:val="en-GB"/>
              </w:rPr>
            </w:pPr>
            <w:r>
              <w:rPr>
                <w:rFonts w:ascii="Times New Roman" w:hAnsi="Times New Roman" w:cs="Times New Roman"/>
                <w:b/>
                <w:color w:val="000000"/>
                <w:sz w:val="22"/>
                <w:szCs w:val="22"/>
                <w:lang w:val="en-GB"/>
              </w:rPr>
              <w:t>(n=420)</w:t>
            </w:r>
          </w:p>
        </w:tc>
      </w:tr>
      <w:tr w:rsidR="006373D4" w:rsidRPr="0097583E" w14:paraId="36E9E08F" w14:textId="77777777" w:rsidTr="006373D4">
        <w:trPr>
          <w:trHeight w:val="224"/>
        </w:trPr>
        <w:tc>
          <w:tcPr>
            <w:tcW w:w="3828" w:type="dxa"/>
            <w:tcBorders>
              <w:top w:val="single" w:sz="4" w:space="0" w:color="auto"/>
            </w:tcBorders>
            <w:noWrap/>
            <w:vAlign w:val="center"/>
          </w:tcPr>
          <w:p w14:paraId="0ACB21FB" w14:textId="77777777" w:rsidR="006373D4" w:rsidRPr="0097583E" w:rsidRDefault="006373D4" w:rsidP="00FA6E99">
            <w:pPr>
              <w:spacing w:line="360" w:lineRule="auto"/>
              <w:rPr>
                <w:rFonts w:ascii="Times New Roman" w:hAnsi="Times New Roman" w:cs="Times New Roman"/>
                <w:b/>
                <w:color w:val="000000"/>
                <w:sz w:val="22"/>
                <w:szCs w:val="22"/>
                <w:vertAlign w:val="superscript"/>
                <w:lang w:val="en-GB"/>
              </w:rPr>
            </w:pPr>
            <w:r>
              <w:rPr>
                <w:rFonts w:ascii="Times New Roman" w:hAnsi="Times New Roman" w:cs="Times New Roman"/>
                <w:b/>
                <w:color w:val="000000"/>
                <w:sz w:val="22"/>
                <w:szCs w:val="22"/>
                <w:lang w:val="en-GB"/>
              </w:rPr>
              <w:t>Never vaccinated (ref: vaccination before infection)</w:t>
            </w:r>
          </w:p>
        </w:tc>
        <w:tc>
          <w:tcPr>
            <w:tcW w:w="1842" w:type="dxa"/>
            <w:tcBorders>
              <w:top w:val="single" w:sz="4" w:space="0" w:color="auto"/>
            </w:tcBorders>
            <w:vAlign w:val="center"/>
          </w:tcPr>
          <w:p w14:paraId="2DE33F46" w14:textId="42C6E2B7" w:rsidR="006373D4"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1.3</w:t>
            </w:r>
            <w:r>
              <w:rPr>
                <w:rFonts w:ascii="Times New Roman" w:hAnsi="Times New Roman" w:cs="Times New Roman"/>
                <w:sz w:val="22"/>
                <w:szCs w:val="22"/>
                <w:lang w:val="en-GB"/>
              </w:rPr>
              <w:t>8</w:t>
            </w:r>
            <w:r>
              <w:rPr>
                <w:rFonts w:ascii="Times New Roman" w:hAnsi="Times New Roman" w:cs="Times New Roman"/>
                <w:sz w:val="22"/>
                <w:szCs w:val="22"/>
                <w:lang w:val="en-GB"/>
              </w:rPr>
              <w:t xml:space="preserve"> (</w:t>
            </w:r>
            <w:r>
              <w:rPr>
                <w:rFonts w:ascii="Times New Roman" w:hAnsi="Times New Roman" w:cs="Times New Roman"/>
                <w:sz w:val="22"/>
                <w:szCs w:val="22"/>
                <w:lang w:val="en-GB"/>
              </w:rPr>
              <w:t>0.99</w:t>
            </w:r>
            <w:r>
              <w:rPr>
                <w:rFonts w:ascii="Times New Roman" w:hAnsi="Times New Roman" w:cs="Times New Roman"/>
                <w:sz w:val="22"/>
                <w:szCs w:val="22"/>
                <w:lang w:val="en-GB"/>
              </w:rPr>
              <w:t>–1.</w:t>
            </w:r>
            <w:r>
              <w:rPr>
                <w:rFonts w:ascii="Times New Roman" w:hAnsi="Times New Roman" w:cs="Times New Roman"/>
                <w:sz w:val="22"/>
                <w:szCs w:val="22"/>
                <w:lang w:val="en-GB"/>
              </w:rPr>
              <w:t>91</w:t>
            </w:r>
            <w:r>
              <w:rPr>
                <w:rFonts w:ascii="Times New Roman" w:hAnsi="Times New Roman" w:cs="Times New Roman"/>
                <w:sz w:val="22"/>
                <w:szCs w:val="22"/>
                <w:lang w:val="en-GB"/>
              </w:rPr>
              <w:t>)</w:t>
            </w:r>
          </w:p>
        </w:tc>
        <w:tc>
          <w:tcPr>
            <w:tcW w:w="2268" w:type="dxa"/>
            <w:tcBorders>
              <w:top w:val="single" w:sz="4" w:space="0" w:color="auto"/>
            </w:tcBorders>
            <w:vAlign w:val="center"/>
          </w:tcPr>
          <w:p w14:paraId="01FF36E7" w14:textId="272276F8" w:rsidR="006373D4"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w:t>
            </w:r>
            <w:r>
              <w:rPr>
                <w:rFonts w:ascii="Times New Roman" w:hAnsi="Times New Roman" w:cs="Times New Roman"/>
                <w:sz w:val="22"/>
                <w:szCs w:val="22"/>
                <w:lang w:val="en-GB"/>
              </w:rPr>
              <w:t>39</w:t>
            </w:r>
            <w:r>
              <w:rPr>
                <w:rFonts w:ascii="Times New Roman" w:hAnsi="Times New Roman" w:cs="Times New Roman"/>
                <w:sz w:val="22"/>
                <w:szCs w:val="22"/>
                <w:lang w:val="en-GB"/>
              </w:rPr>
              <w:t xml:space="preserve"> (1.01–</w:t>
            </w:r>
            <w:r>
              <w:rPr>
                <w:rFonts w:ascii="Times New Roman" w:hAnsi="Times New Roman" w:cs="Times New Roman"/>
                <w:sz w:val="22"/>
                <w:szCs w:val="22"/>
                <w:lang w:val="en-GB"/>
              </w:rPr>
              <w:t>2.02</w:t>
            </w:r>
            <w:r>
              <w:rPr>
                <w:rFonts w:ascii="Times New Roman" w:hAnsi="Times New Roman" w:cs="Times New Roman"/>
                <w:sz w:val="22"/>
                <w:szCs w:val="22"/>
                <w:lang w:val="en-GB"/>
              </w:rPr>
              <w:t>)</w:t>
            </w:r>
          </w:p>
        </w:tc>
      </w:tr>
      <w:tr w:rsidR="006373D4" w:rsidRPr="0097583E" w14:paraId="49CCCC9A" w14:textId="77777777" w:rsidTr="006373D4">
        <w:trPr>
          <w:trHeight w:val="99"/>
        </w:trPr>
        <w:tc>
          <w:tcPr>
            <w:tcW w:w="3828" w:type="dxa"/>
            <w:tcBorders>
              <w:bottom w:val="single" w:sz="4" w:space="0" w:color="auto"/>
            </w:tcBorders>
            <w:noWrap/>
            <w:vAlign w:val="center"/>
          </w:tcPr>
          <w:p w14:paraId="4558A0F9" w14:textId="77777777" w:rsidR="006373D4" w:rsidRPr="0097583E" w:rsidRDefault="006373D4" w:rsidP="00FA6E99">
            <w:pPr>
              <w:spacing w:line="360" w:lineRule="auto"/>
              <w:rPr>
                <w:rFonts w:ascii="Times New Roman" w:hAnsi="Times New Roman" w:cs="Times New Roman"/>
                <w:b/>
                <w:color w:val="000000"/>
                <w:sz w:val="22"/>
                <w:szCs w:val="22"/>
                <w:lang w:val="en-GB"/>
              </w:rPr>
            </w:pPr>
            <w:r w:rsidRPr="0097583E">
              <w:rPr>
                <w:rFonts w:ascii="Times New Roman" w:hAnsi="Times New Roman" w:cs="Times New Roman"/>
                <w:b/>
                <w:color w:val="000000"/>
                <w:sz w:val="22"/>
                <w:szCs w:val="22"/>
                <w:lang w:val="en-GB"/>
              </w:rPr>
              <w:t>Female sex</w:t>
            </w:r>
          </w:p>
        </w:tc>
        <w:tc>
          <w:tcPr>
            <w:tcW w:w="1842" w:type="dxa"/>
            <w:tcBorders>
              <w:bottom w:val="single" w:sz="4" w:space="0" w:color="auto"/>
            </w:tcBorders>
            <w:vAlign w:val="center"/>
          </w:tcPr>
          <w:p w14:paraId="742444D3" w14:textId="73D2D0E7" w:rsidR="006373D4"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w:t>
            </w:r>
            <w:r>
              <w:rPr>
                <w:rFonts w:ascii="Times New Roman" w:hAnsi="Times New Roman" w:cs="Times New Roman"/>
                <w:sz w:val="22"/>
                <w:szCs w:val="22"/>
                <w:lang w:val="en-GB"/>
              </w:rPr>
              <w:t>36</w:t>
            </w:r>
            <w:r>
              <w:rPr>
                <w:rFonts w:ascii="Times New Roman" w:hAnsi="Times New Roman" w:cs="Times New Roman"/>
                <w:sz w:val="22"/>
                <w:szCs w:val="22"/>
                <w:lang w:val="en-GB"/>
              </w:rPr>
              <w:t xml:space="preserve"> (</w:t>
            </w:r>
            <w:r>
              <w:rPr>
                <w:rFonts w:ascii="Times New Roman" w:hAnsi="Times New Roman" w:cs="Times New Roman"/>
                <w:sz w:val="22"/>
                <w:szCs w:val="22"/>
                <w:lang w:val="en-GB"/>
              </w:rPr>
              <w:t>1.01</w:t>
            </w:r>
            <w:r>
              <w:rPr>
                <w:rFonts w:ascii="Times New Roman" w:hAnsi="Times New Roman" w:cs="Times New Roman"/>
                <w:sz w:val="22"/>
                <w:szCs w:val="22"/>
                <w:lang w:val="en-GB"/>
              </w:rPr>
              <w:t>–1.</w:t>
            </w:r>
            <w:r>
              <w:rPr>
                <w:rFonts w:ascii="Times New Roman" w:hAnsi="Times New Roman" w:cs="Times New Roman"/>
                <w:sz w:val="22"/>
                <w:szCs w:val="22"/>
                <w:lang w:val="en-GB"/>
              </w:rPr>
              <w:t>84</w:t>
            </w:r>
            <w:r>
              <w:rPr>
                <w:rFonts w:ascii="Times New Roman" w:hAnsi="Times New Roman" w:cs="Times New Roman"/>
                <w:sz w:val="22"/>
                <w:szCs w:val="22"/>
                <w:lang w:val="en-GB"/>
              </w:rPr>
              <w:t>)</w:t>
            </w:r>
          </w:p>
        </w:tc>
        <w:tc>
          <w:tcPr>
            <w:tcW w:w="2268" w:type="dxa"/>
            <w:tcBorders>
              <w:bottom w:val="single" w:sz="4" w:space="0" w:color="auto"/>
            </w:tcBorders>
            <w:vAlign w:val="center"/>
          </w:tcPr>
          <w:p w14:paraId="2E7140B9" w14:textId="345349DB" w:rsidR="006373D4" w:rsidRPr="0097583E" w:rsidRDefault="006373D4" w:rsidP="00FA6E99">
            <w:pPr>
              <w:spacing w:line="360" w:lineRule="auto"/>
              <w:rPr>
                <w:rFonts w:ascii="Times New Roman" w:hAnsi="Times New Roman" w:cs="Times New Roman"/>
                <w:color w:val="000000"/>
                <w:sz w:val="22"/>
                <w:szCs w:val="22"/>
                <w:lang w:val="en-GB"/>
              </w:rPr>
            </w:pPr>
            <w:r>
              <w:rPr>
                <w:rFonts w:ascii="Times New Roman" w:hAnsi="Times New Roman" w:cs="Times New Roman"/>
                <w:sz w:val="22"/>
                <w:szCs w:val="22"/>
                <w:lang w:val="en-GB"/>
              </w:rPr>
              <w:t>1.</w:t>
            </w:r>
            <w:r>
              <w:rPr>
                <w:rFonts w:ascii="Times New Roman" w:hAnsi="Times New Roman" w:cs="Times New Roman"/>
                <w:sz w:val="22"/>
                <w:szCs w:val="22"/>
                <w:lang w:val="en-GB"/>
              </w:rPr>
              <w:t>37</w:t>
            </w:r>
            <w:r>
              <w:rPr>
                <w:rFonts w:ascii="Times New Roman" w:hAnsi="Times New Roman" w:cs="Times New Roman"/>
                <w:sz w:val="22"/>
                <w:szCs w:val="22"/>
                <w:lang w:val="en-GB"/>
              </w:rPr>
              <w:t xml:space="preserve"> (1.0</w:t>
            </w:r>
            <w:r>
              <w:rPr>
                <w:rFonts w:ascii="Times New Roman" w:hAnsi="Times New Roman" w:cs="Times New Roman"/>
                <w:sz w:val="22"/>
                <w:szCs w:val="22"/>
                <w:lang w:val="en-GB"/>
              </w:rPr>
              <w:t>2</w:t>
            </w:r>
            <w:r>
              <w:rPr>
                <w:rFonts w:ascii="Times New Roman" w:hAnsi="Times New Roman" w:cs="Times New Roman"/>
                <w:sz w:val="22"/>
                <w:szCs w:val="22"/>
                <w:lang w:val="en-GB"/>
              </w:rPr>
              <w:t>–1.</w:t>
            </w:r>
            <w:r>
              <w:rPr>
                <w:rFonts w:ascii="Times New Roman" w:hAnsi="Times New Roman" w:cs="Times New Roman"/>
                <w:sz w:val="22"/>
                <w:szCs w:val="22"/>
                <w:lang w:val="en-GB"/>
              </w:rPr>
              <w:t>86</w:t>
            </w:r>
            <w:r>
              <w:rPr>
                <w:rFonts w:ascii="Times New Roman" w:hAnsi="Times New Roman" w:cs="Times New Roman"/>
                <w:sz w:val="22"/>
                <w:szCs w:val="22"/>
                <w:lang w:val="en-GB"/>
              </w:rPr>
              <w:t>)</w:t>
            </w:r>
          </w:p>
        </w:tc>
      </w:tr>
    </w:tbl>
    <w:p w14:paraId="46C5AD29" w14:textId="77777777" w:rsidR="006373D4" w:rsidRPr="00701B53" w:rsidRDefault="006373D4" w:rsidP="006373D4">
      <w:pPr>
        <w:spacing w:line="480" w:lineRule="auto"/>
        <w:jc w:val="both"/>
        <w:rPr>
          <w:rFonts w:ascii="Times New Roman" w:hAnsi="Times New Roman" w:cs="Times New Roman"/>
          <w:lang w:val="en-US"/>
        </w:rPr>
      </w:pPr>
    </w:p>
    <w:p w14:paraId="27522A97" w14:textId="0BD363D1" w:rsidR="006373D4" w:rsidRPr="00701B53" w:rsidRDefault="006373D4" w:rsidP="006373D4">
      <w:pPr>
        <w:spacing w:line="480" w:lineRule="auto"/>
        <w:jc w:val="both"/>
        <w:rPr>
          <w:rFonts w:ascii="Times New Roman" w:hAnsi="Times New Roman" w:cs="Times New Roman"/>
          <w:lang w:val="en-US"/>
        </w:rPr>
      </w:pPr>
      <w:r w:rsidRPr="003A758F">
        <w:rPr>
          <w:rFonts w:ascii="Times New Roman" w:hAnsi="Times New Roman" w:cs="Times New Roman"/>
          <w:b/>
          <w:bCs/>
          <w:lang w:val="en-US"/>
        </w:rPr>
        <w:t>Conclusion of sensitivity analysis:</w:t>
      </w:r>
      <w:r>
        <w:rPr>
          <w:rFonts w:ascii="Times New Roman" w:hAnsi="Times New Roman" w:cs="Times New Roman"/>
          <w:lang w:val="en-US"/>
        </w:rPr>
        <w:t xml:space="preserve"> All IRRs and 95% Cis from the KNN imputation were nearly identical to those from the complete case analysis. No substantive conclusion changed. Thus, the minimal missing data did not affect the robustness of our findings.</w:t>
      </w:r>
    </w:p>
    <w:p w14:paraId="0EE4838C" w14:textId="77777777" w:rsidR="0097583E" w:rsidRPr="00701B53" w:rsidRDefault="0097583E" w:rsidP="00701B53">
      <w:pPr>
        <w:spacing w:line="480" w:lineRule="auto"/>
        <w:jc w:val="both"/>
        <w:rPr>
          <w:rFonts w:ascii="Times New Roman" w:hAnsi="Times New Roman" w:cs="Times New Roman"/>
          <w:lang w:val="en-US"/>
        </w:rPr>
      </w:pPr>
    </w:p>
    <w:sectPr w:rsidR="0097583E" w:rsidRPr="00701B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B53"/>
    <w:rsid w:val="00131244"/>
    <w:rsid w:val="001E7FD8"/>
    <w:rsid w:val="002A58AE"/>
    <w:rsid w:val="003A758F"/>
    <w:rsid w:val="00516A26"/>
    <w:rsid w:val="006373D4"/>
    <w:rsid w:val="00701B53"/>
    <w:rsid w:val="00911E23"/>
    <w:rsid w:val="009560F3"/>
    <w:rsid w:val="0097583E"/>
    <w:rsid w:val="00AC5332"/>
    <w:rsid w:val="00BC13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6504C51"/>
  <w15:chartTrackingRefBased/>
  <w15:docId w15:val="{8CA7B6A5-C9E8-6C4C-85F5-14C73909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B53"/>
    <w:rPr>
      <w:rFonts w:eastAsiaTheme="majorEastAsia" w:cstheme="majorBidi"/>
      <w:color w:val="272727" w:themeColor="text1" w:themeTint="D8"/>
    </w:rPr>
  </w:style>
  <w:style w:type="paragraph" w:styleId="Title">
    <w:name w:val="Title"/>
    <w:basedOn w:val="Normal"/>
    <w:next w:val="Normal"/>
    <w:link w:val="TitleChar"/>
    <w:uiPriority w:val="10"/>
    <w:qFormat/>
    <w:rsid w:val="00701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B53"/>
    <w:pPr>
      <w:spacing w:before="160"/>
      <w:jc w:val="center"/>
    </w:pPr>
    <w:rPr>
      <w:i/>
      <w:iCs/>
      <w:color w:val="404040" w:themeColor="text1" w:themeTint="BF"/>
    </w:rPr>
  </w:style>
  <w:style w:type="character" w:customStyle="1" w:styleId="QuoteChar">
    <w:name w:val="Quote Char"/>
    <w:basedOn w:val="DefaultParagraphFont"/>
    <w:link w:val="Quote"/>
    <w:uiPriority w:val="29"/>
    <w:rsid w:val="00701B53"/>
    <w:rPr>
      <w:i/>
      <w:iCs/>
      <w:color w:val="404040" w:themeColor="text1" w:themeTint="BF"/>
    </w:rPr>
  </w:style>
  <w:style w:type="paragraph" w:styleId="ListParagraph">
    <w:name w:val="List Paragraph"/>
    <w:basedOn w:val="Normal"/>
    <w:uiPriority w:val="34"/>
    <w:qFormat/>
    <w:rsid w:val="00701B53"/>
    <w:pPr>
      <w:ind w:left="720"/>
      <w:contextualSpacing/>
    </w:pPr>
  </w:style>
  <w:style w:type="character" w:styleId="IntenseEmphasis">
    <w:name w:val="Intense Emphasis"/>
    <w:basedOn w:val="DefaultParagraphFont"/>
    <w:uiPriority w:val="21"/>
    <w:qFormat/>
    <w:rsid w:val="00701B53"/>
    <w:rPr>
      <w:i/>
      <w:iCs/>
      <w:color w:val="0F4761" w:themeColor="accent1" w:themeShade="BF"/>
    </w:rPr>
  </w:style>
  <w:style w:type="paragraph" w:styleId="IntenseQuote">
    <w:name w:val="Intense Quote"/>
    <w:basedOn w:val="Normal"/>
    <w:next w:val="Normal"/>
    <w:link w:val="IntenseQuoteChar"/>
    <w:uiPriority w:val="30"/>
    <w:qFormat/>
    <w:rsid w:val="00701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B53"/>
    <w:rPr>
      <w:i/>
      <w:iCs/>
      <w:color w:val="0F4761" w:themeColor="accent1" w:themeShade="BF"/>
    </w:rPr>
  </w:style>
  <w:style w:type="character" w:styleId="IntenseReference">
    <w:name w:val="Intense Reference"/>
    <w:basedOn w:val="DefaultParagraphFont"/>
    <w:uiPriority w:val="32"/>
    <w:qFormat/>
    <w:rsid w:val="00701B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Bungsu</dc:creator>
  <cp:keywords/>
  <dc:description/>
  <cp:lastModifiedBy>Putri Bungsu</cp:lastModifiedBy>
  <cp:revision>2</cp:revision>
  <dcterms:created xsi:type="dcterms:W3CDTF">2026-05-30T23:46:00Z</dcterms:created>
  <dcterms:modified xsi:type="dcterms:W3CDTF">2026-05-31T00:16:00Z</dcterms:modified>
</cp:coreProperties>
</file>