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1FC" w:rsidRPr="00AB71FC" w:rsidRDefault="00AA57A8" w:rsidP="00AB71FC">
      <w:pPr>
        <w:spacing w:line="480" w:lineRule="auto"/>
        <w:rPr>
          <w:b/>
          <w:sz w:val="22"/>
        </w:rPr>
      </w:pPr>
      <w:r>
        <w:rPr>
          <w:b/>
          <w:sz w:val="22"/>
        </w:rPr>
        <w:t>Supplementary Table 1. Clinical characteristic</w:t>
      </w:r>
      <w:r>
        <w:rPr>
          <w:rFonts w:hint="eastAsia"/>
          <w:b/>
          <w:sz w:val="22"/>
        </w:rPr>
        <w:t>s</w:t>
      </w:r>
      <w:r>
        <w:rPr>
          <w:b/>
          <w:sz w:val="22"/>
        </w:rPr>
        <w:t xml:space="preserve"> of patients treated with curative surgery resection only</w:t>
      </w:r>
    </w:p>
    <w:tbl>
      <w:tblPr>
        <w:tblW w:w="0" w:type="auto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51"/>
        <w:gridCol w:w="722"/>
        <w:gridCol w:w="852"/>
        <w:gridCol w:w="829"/>
        <w:gridCol w:w="865"/>
        <w:gridCol w:w="881"/>
        <w:gridCol w:w="738"/>
        <w:gridCol w:w="723"/>
        <w:gridCol w:w="459"/>
        <w:gridCol w:w="555"/>
        <w:gridCol w:w="457"/>
      </w:tblGrid>
      <w:tr w:rsidR="00A02FAE">
        <w:trPr>
          <w:trHeight w:hRule="exact" w:val="388"/>
          <w:jc w:val="center"/>
        </w:trPr>
        <w:tc>
          <w:tcPr>
            <w:tcW w:w="1451" w:type="dxa"/>
            <w:vMerge w:val="restart"/>
            <w:tcBorders>
              <w:top w:val="single" w:sz="12" w:space="0" w:color="000000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Data Source</w:t>
            </w:r>
          </w:p>
        </w:tc>
        <w:tc>
          <w:tcPr>
            <w:tcW w:w="722" w:type="dxa"/>
            <w:vMerge w:val="restart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</w:rPr>
              <w:t>Year</w:t>
            </w:r>
          </w:p>
        </w:tc>
        <w:tc>
          <w:tcPr>
            <w:tcW w:w="852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Subtype</w:t>
            </w:r>
          </w:p>
        </w:tc>
        <w:tc>
          <w:tcPr>
            <w:tcW w:w="829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1746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1461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471" w:type="dxa"/>
            <w:gridSpan w:val="3"/>
            <w:tcBorders>
              <w:top w:val="single" w:sz="12" w:space="0" w:color="000000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Stage</w:t>
            </w:r>
          </w:p>
        </w:tc>
      </w:tr>
      <w:tr w:rsidR="00A02FAE">
        <w:trPr>
          <w:trHeight w:hRule="exact" w:val="388"/>
          <w:jc w:val="center"/>
        </w:trPr>
        <w:tc>
          <w:tcPr>
            <w:tcW w:w="1451" w:type="dxa"/>
            <w:vMerge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A02FAE" w:rsidRDefault="00A02FAE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22" w:type="dxa"/>
            <w:vMerge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02FAE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02FAE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9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02FAE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Age ≤ 65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Age &gt; 65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72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Male</w:t>
            </w:r>
          </w:p>
        </w:tc>
        <w:tc>
          <w:tcPr>
            <w:tcW w:w="45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I</w:t>
            </w:r>
          </w:p>
        </w:tc>
        <w:tc>
          <w:tcPr>
            <w:tcW w:w="55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II</w:t>
            </w:r>
          </w:p>
        </w:tc>
        <w:tc>
          <w:tcPr>
            <w:tcW w:w="45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III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 w:val="restart"/>
            <w:tcBorders>
              <w:top w:val="single" w:sz="12" w:space="0" w:color="000000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E-MTAB-2435</w:t>
            </w:r>
          </w:p>
        </w:tc>
        <w:tc>
          <w:tcPr>
            <w:tcW w:w="722" w:type="dxa"/>
            <w:vMerge w:val="restart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2014</w:t>
            </w:r>
          </w:p>
        </w:tc>
        <w:tc>
          <w:tcPr>
            <w:tcW w:w="852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pSCC</w:t>
            </w:r>
          </w:p>
        </w:tc>
        <w:tc>
          <w:tcPr>
            <w:tcW w:w="829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65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</w:t>
            </w:r>
            <w:r>
              <w:rPr>
                <w:rFonts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81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</w:t>
            </w:r>
            <w:r>
              <w:rPr>
                <w:rFonts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8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23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459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5</w:t>
            </w:r>
            <w:r>
              <w:rPr>
                <w:rFonts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5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457" w:type="dxa"/>
            <w:tcBorders>
              <w:top w:val="single" w:sz="12" w:space="0" w:color="000000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2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pADC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GSE42127</w:t>
            </w:r>
          </w:p>
        </w:tc>
        <w:tc>
          <w:tcPr>
            <w:tcW w:w="72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2013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pSCC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</w:t>
            </w:r>
            <w:r>
              <w:rPr>
                <w:rFonts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</w:t>
            </w:r>
            <w:r>
              <w:rPr>
                <w:rFonts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14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</w:t>
            </w:r>
            <w:r>
              <w:rPr>
                <w:rFonts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</w:t>
            </w:r>
            <w:r>
              <w:rPr>
                <w:rFonts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7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7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2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 xml:space="preserve">pADC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9</w:t>
            </w:r>
            <w:r>
              <w:rPr>
                <w:rFonts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</w:t>
            </w:r>
            <w:r>
              <w:rPr>
                <w:rFonts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5</w:t>
            </w:r>
            <w:r>
              <w:rPr>
                <w:rFonts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</w:t>
            </w:r>
            <w:r>
              <w:rPr>
                <w:rFonts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</w:t>
            </w:r>
            <w:r>
              <w:rPr>
                <w:rFonts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9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GSE50081</w:t>
            </w:r>
          </w:p>
        </w:tc>
        <w:tc>
          <w:tcPr>
            <w:tcW w:w="72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2013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pSCC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25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2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 xml:space="preserve">pADC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127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87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62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65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92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35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GSE37745</w:t>
            </w:r>
          </w:p>
        </w:tc>
        <w:tc>
          <w:tcPr>
            <w:tcW w:w="72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2012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pSCC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5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2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 xml:space="preserve">pADC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31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5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GSE31210</w:t>
            </w:r>
          </w:p>
        </w:tc>
        <w:tc>
          <w:tcPr>
            <w:tcW w:w="72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2011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pSCC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2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 xml:space="preserve">pADC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204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157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109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95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162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GSE31546</w:t>
            </w:r>
          </w:p>
        </w:tc>
        <w:tc>
          <w:tcPr>
            <w:tcW w:w="72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2011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pSCC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2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 xml:space="preserve">pADC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GSE14814</w:t>
            </w:r>
          </w:p>
        </w:tc>
        <w:tc>
          <w:tcPr>
            <w:tcW w:w="72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2010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pSCC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23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14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2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A02FAE" w:rsidRDefault="00A02FAE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 xml:space="preserve">pADC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14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GSE68465</w:t>
            </w:r>
          </w:p>
        </w:tc>
        <w:tc>
          <w:tcPr>
            <w:tcW w:w="72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2008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pSCC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</w:tr>
      <w:tr w:rsidR="00A02FAE">
        <w:trPr>
          <w:trHeight w:hRule="exact" w:val="298"/>
          <w:jc w:val="center"/>
        </w:trPr>
        <w:tc>
          <w:tcPr>
            <w:tcW w:w="1451" w:type="dxa"/>
            <w:vMerge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A02FAE" w:rsidRDefault="00A02FAE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22" w:type="dxa"/>
            <w:vMerge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02FAE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 xml:space="preserve">pADC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86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45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37</w:t>
            </w:r>
          </w:p>
        </w:tc>
      </w:tr>
    </w:tbl>
    <w:p w:rsidR="00A02FAE" w:rsidRDefault="00A02FAE" w:rsidP="00AB71FC">
      <w:pPr>
        <w:spacing w:line="480" w:lineRule="auto"/>
        <w:rPr>
          <w:b/>
          <w:szCs w:val="21"/>
        </w:rPr>
      </w:pPr>
    </w:p>
    <w:p w:rsidR="00A02FAE" w:rsidRDefault="00A02FAE" w:rsidP="00AB71FC">
      <w:pPr>
        <w:spacing w:line="480" w:lineRule="auto"/>
        <w:rPr>
          <w:b/>
          <w:szCs w:val="21"/>
        </w:rPr>
      </w:pPr>
    </w:p>
    <w:p w:rsidR="00A02FAE" w:rsidRDefault="00A02FAE" w:rsidP="00AB71FC">
      <w:pPr>
        <w:spacing w:line="480" w:lineRule="auto"/>
        <w:rPr>
          <w:b/>
          <w:szCs w:val="21"/>
        </w:rPr>
      </w:pPr>
    </w:p>
    <w:p w:rsidR="00A02FAE" w:rsidRDefault="00A02FAE" w:rsidP="00AB71FC">
      <w:pPr>
        <w:spacing w:line="480" w:lineRule="auto"/>
        <w:rPr>
          <w:b/>
          <w:szCs w:val="21"/>
        </w:rPr>
      </w:pPr>
    </w:p>
    <w:p w:rsidR="00A02FAE" w:rsidRDefault="00A02FAE" w:rsidP="00AB71FC">
      <w:pPr>
        <w:spacing w:line="480" w:lineRule="auto"/>
        <w:rPr>
          <w:b/>
          <w:szCs w:val="21"/>
        </w:rPr>
      </w:pPr>
    </w:p>
    <w:p w:rsidR="00A02FAE" w:rsidRDefault="00A02FAE" w:rsidP="00AB71FC">
      <w:pPr>
        <w:spacing w:line="480" w:lineRule="auto"/>
        <w:rPr>
          <w:b/>
          <w:szCs w:val="21"/>
        </w:rPr>
      </w:pPr>
    </w:p>
    <w:p w:rsidR="00A02FAE" w:rsidRDefault="00A02FAE" w:rsidP="00AB71FC">
      <w:pPr>
        <w:spacing w:line="480" w:lineRule="auto"/>
        <w:rPr>
          <w:b/>
          <w:szCs w:val="21"/>
        </w:rPr>
      </w:pPr>
    </w:p>
    <w:p w:rsidR="00A02FAE" w:rsidRDefault="00A02FAE" w:rsidP="00AB71FC">
      <w:pPr>
        <w:spacing w:line="480" w:lineRule="auto"/>
        <w:rPr>
          <w:b/>
          <w:szCs w:val="21"/>
        </w:rPr>
      </w:pPr>
    </w:p>
    <w:p w:rsidR="00A02FAE" w:rsidRDefault="00A02FAE" w:rsidP="00AB71FC">
      <w:pPr>
        <w:spacing w:line="480" w:lineRule="auto"/>
        <w:rPr>
          <w:b/>
          <w:szCs w:val="21"/>
        </w:rPr>
      </w:pPr>
    </w:p>
    <w:p w:rsidR="00A02FAE" w:rsidRDefault="00A02FAE" w:rsidP="00AB71FC">
      <w:pPr>
        <w:spacing w:line="480" w:lineRule="auto"/>
        <w:rPr>
          <w:b/>
          <w:szCs w:val="21"/>
        </w:rPr>
      </w:pPr>
    </w:p>
    <w:p w:rsidR="00A02FAE" w:rsidRDefault="00A02FAE" w:rsidP="00AB71FC">
      <w:pPr>
        <w:spacing w:line="480" w:lineRule="auto"/>
        <w:rPr>
          <w:b/>
          <w:szCs w:val="21"/>
        </w:rPr>
      </w:pPr>
    </w:p>
    <w:p w:rsidR="00A02FAE" w:rsidRDefault="00AA57A8" w:rsidP="006276EA">
      <w:pPr>
        <w:spacing w:line="480" w:lineRule="auto"/>
        <w:jc w:val="left"/>
        <w:rPr>
          <w:b/>
          <w:sz w:val="22"/>
        </w:rPr>
      </w:pPr>
      <w:r>
        <w:rPr>
          <w:b/>
          <w:sz w:val="22"/>
        </w:rPr>
        <w:lastRenderedPageBreak/>
        <w:t xml:space="preserve">Supplementary Table </w:t>
      </w:r>
      <w:r>
        <w:rPr>
          <w:rFonts w:hint="eastAsia"/>
          <w:b/>
          <w:sz w:val="22"/>
        </w:rPr>
        <w:t>2</w:t>
      </w:r>
      <w:r>
        <w:rPr>
          <w:b/>
          <w:sz w:val="22"/>
        </w:rPr>
        <w:t>. The top 50 subtype-opposite gene pairs</w:t>
      </w:r>
    </w:p>
    <w:p w:rsidR="00A02FAE" w:rsidRDefault="00A02FAE">
      <w:pPr>
        <w:jc w:val="left"/>
        <w:rPr>
          <w:b/>
          <w:sz w:val="22"/>
        </w:rPr>
      </w:pP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81"/>
        <w:gridCol w:w="1637"/>
        <w:gridCol w:w="1212"/>
        <w:gridCol w:w="1180"/>
        <w:gridCol w:w="1914"/>
        <w:gridCol w:w="1212"/>
      </w:tblGrid>
      <w:tr w:rsidR="00A02FAE">
        <w:trPr>
          <w:trHeight w:hRule="exact" w:val="385"/>
          <w:jc w:val="center"/>
        </w:trPr>
        <w:tc>
          <w:tcPr>
            <w:tcW w:w="1181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 xml:space="preserve">Gene </w:t>
            </w:r>
            <w:r>
              <w:rPr>
                <w:rFonts w:hint="eastAsia"/>
                <w:b/>
                <w:bCs/>
                <w:i/>
                <w:color w:val="000000"/>
                <w:sz w:val="22"/>
              </w:rPr>
              <w:t>a</w:t>
            </w:r>
          </w:p>
        </w:tc>
        <w:tc>
          <w:tcPr>
            <w:tcW w:w="1637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 xml:space="preserve">Gene </w:t>
            </w:r>
            <w:r>
              <w:rPr>
                <w:rFonts w:hint="eastAsia"/>
                <w:b/>
                <w:bCs/>
                <w:i/>
                <w:color w:val="000000"/>
                <w:sz w:val="22"/>
              </w:rPr>
              <w:t>b</w:t>
            </w:r>
          </w:p>
        </w:tc>
        <w:tc>
          <w:tcPr>
            <w:tcW w:w="1212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sz w:val="22"/>
              </w:rPr>
              <w:t>C-score</w:t>
            </w:r>
          </w:p>
        </w:tc>
        <w:tc>
          <w:tcPr>
            <w:tcW w:w="1180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 xml:space="preserve">Gene </w:t>
            </w:r>
            <w:r>
              <w:rPr>
                <w:rFonts w:hint="eastAsia"/>
                <w:b/>
                <w:bCs/>
                <w:i/>
                <w:color w:val="000000"/>
                <w:sz w:val="22"/>
              </w:rPr>
              <w:t>a</w:t>
            </w:r>
          </w:p>
        </w:tc>
        <w:tc>
          <w:tcPr>
            <w:tcW w:w="1914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 xml:space="preserve">Gene </w:t>
            </w:r>
            <w:r>
              <w:rPr>
                <w:rFonts w:hint="eastAsia"/>
                <w:b/>
                <w:bCs/>
                <w:i/>
                <w:color w:val="000000"/>
                <w:sz w:val="22"/>
              </w:rPr>
              <w:t>b</w:t>
            </w:r>
          </w:p>
        </w:tc>
        <w:tc>
          <w:tcPr>
            <w:tcW w:w="1212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sz w:val="22"/>
              </w:rPr>
              <w:t>C-score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single" w:sz="12" w:space="0" w:color="auto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single" w:sz="12" w:space="0" w:color="auto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AGR2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CLDN7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CTBP2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IRF7</w:t>
            </w:r>
          </w:p>
        </w:tc>
        <w:tc>
          <w:tcPr>
            <w:tcW w:w="1212" w:type="dxa"/>
            <w:tcBorders>
              <w:top w:val="single" w:sz="12" w:space="0" w:color="auto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98.43%</w:t>
            </w:r>
          </w:p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97.91%</w:t>
            </w:r>
          </w:p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97.91%</w:t>
            </w:r>
          </w:p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97.91%</w:t>
            </w:r>
          </w:p>
        </w:tc>
        <w:tc>
          <w:tcPr>
            <w:tcW w:w="1180" w:type="dxa"/>
            <w:tcBorders>
              <w:top w:val="single" w:sz="12" w:space="0" w:color="auto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single" w:sz="12" w:space="0" w:color="auto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SLC30A9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CYB561D2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MGRN1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TRAM1</w:t>
            </w:r>
          </w:p>
        </w:tc>
        <w:tc>
          <w:tcPr>
            <w:tcW w:w="1212" w:type="dxa"/>
            <w:tcBorders>
              <w:top w:val="single" w:sz="12" w:space="0" w:color="auto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D07446">
        <w:trPr>
          <w:trHeight w:hRule="exact" w:val="340"/>
          <w:jc w:val="center"/>
        </w:trPr>
        <w:tc>
          <w:tcPr>
            <w:tcW w:w="1181" w:type="dxa"/>
            <w:tcBorders>
              <w:top w:val="nil"/>
              <w:bottom w:val="nil"/>
            </w:tcBorders>
          </w:tcPr>
          <w:p w:rsidR="00D07446" w:rsidRDefault="00D07446" w:rsidP="00D07446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  <w:p w:rsidR="00D07446" w:rsidRDefault="00D07446" w:rsidP="00D07446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  <w:p w:rsidR="00D07446" w:rsidRDefault="00D07446">
            <w:pPr>
              <w:jc w:val="center"/>
              <w:rPr>
                <w:i/>
                <w:color w:val="000000"/>
                <w:sz w:val="22"/>
              </w:rPr>
            </w:pPr>
          </w:p>
        </w:tc>
        <w:tc>
          <w:tcPr>
            <w:tcW w:w="1637" w:type="dxa"/>
            <w:tcBorders>
              <w:top w:val="nil"/>
              <w:bottom w:val="nil"/>
            </w:tcBorders>
          </w:tcPr>
          <w:p w:rsidR="00D07446" w:rsidRDefault="00D07446">
            <w:pPr>
              <w:jc w:val="center"/>
              <w:rPr>
                <w:i/>
                <w:color w:val="000000"/>
                <w:sz w:val="22"/>
              </w:rPr>
            </w:pPr>
            <w:r w:rsidRPr="00D07446">
              <w:rPr>
                <w:i/>
                <w:color w:val="000000"/>
                <w:sz w:val="22"/>
              </w:rPr>
              <w:t>CLDN7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D07446" w:rsidRDefault="00D07446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97.91%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D07446" w:rsidRDefault="00D07446" w:rsidP="00D07446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  <w:p w:rsidR="00D07446" w:rsidRDefault="00D07446">
            <w:pPr>
              <w:jc w:val="center"/>
              <w:rPr>
                <w:i/>
                <w:color w:val="000000"/>
                <w:sz w:val="22"/>
              </w:rPr>
            </w:pP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D07446" w:rsidRDefault="00D07446">
            <w:pPr>
              <w:jc w:val="center"/>
              <w:rPr>
                <w:i/>
                <w:color w:val="000000"/>
                <w:sz w:val="22"/>
              </w:rPr>
            </w:pPr>
            <w:r w:rsidRPr="00D07446">
              <w:rPr>
                <w:i/>
                <w:color w:val="000000"/>
                <w:sz w:val="22"/>
              </w:rPr>
              <w:t>CYB561D2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D07446" w:rsidRDefault="00D07446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D07446">
        <w:trPr>
          <w:trHeight w:hRule="exact" w:val="340"/>
          <w:jc w:val="center"/>
        </w:trPr>
        <w:tc>
          <w:tcPr>
            <w:tcW w:w="1181" w:type="dxa"/>
            <w:tcBorders>
              <w:top w:val="nil"/>
              <w:bottom w:val="nil"/>
            </w:tcBorders>
          </w:tcPr>
          <w:p w:rsidR="00D07446" w:rsidRDefault="00D07446" w:rsidP="00D07446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  <w:p w:rsidR="00D07446" w:rsidRDefault="00D07446">
            <w:pPr>
              <w:jc w:val="center"/>
              <w:rPr>
                <w:i/>
                <w:color w:val="000000"/>
                <w:sz w:val="22"/>
              </w:rPr>
            </w:pPr>
          </w:p>
        </w:tc>
        <w:tc>
          <w:tcPr>
            <w:tcW w:w="1637" w:type="dxa"/>
            <w:tcBorders>
              <w:top w:val="nil"/>
              <w:bottom w:val="nil"/>
            </w:tcBorders>
          </w:tcPr>
          <w:p w:rsidR="00D07446" w:rsidRDefault="00D07446">
            <w:pPr>
              <w:jc w:val="center"/>
              <w:rPr>
                <w:i/>
                <w:color w:val="000000"/>
                <w:sz w:val="22"/>
              </w:rPr>
            </w:pPr>
            <w:r w:rsidRPr="00D07446">
              <w:rPr>
                <w:i/>
                <w:color w:val="000000"/>
                <w:sz w:val="22"/>
              </w:rPr>
              <w:t>CTBP2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D07446" w:rsidRDefault="00D07446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97.91%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D07446" w:rsidRDefault="00D07446" w:rsidP="00D07446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  <w:p w:rsidR="00D07446" w:rsidRDefault="00D07446">
            <w:pPr>
              <w:jc w:val="center"/>
              <w:rPr>
                <w:i/>
                <w:color w:val="000000"/>
                <w:sz w:val="22"/>
              </w:rPr>
            </w:pP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D07446" w:rsidRDefault="00D07446">
            <w:pPr>
              <w:jc w:val="center"/>
              <w:rPr>
                <w:i/>
                <w:color w:val="000000"/>
                <w:sz w:val="22"/>
              </w:rPr>
            </w:pPr>
            <w:r w:rsidRPr="00D07446">
              <w:rPr>
                <w:i/>
                <w:color w:val="000000"/>
                <w:sz w:val="22"/>
              </w:rPr>
              <w:t>MGRN1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D07446" w:rsidRDefault="00D07446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D07446">
        <w:trPr>
          <w:trHeight w:hRule="exact" w:val="340"/>
          <w:jc w:val="center"/>
        </w:trPr>
        <w:tc>
          <w:tcPr>
            <w:tcW w:w="1181" w:type="dxa"/>
            <w:tcBorders>
              <w:top w:val="nil"/>
              <w:bottom w:val="nil"/>
            </w:tcBorders>
          </w:tcPr>
          <w:p w:rsidR="00D07446" w:rsidRDefault="00D07446" w:rsidP="00D07446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  <w:p w:rsidR="00D07446" w:rsidRDefault="00D07446">
            <w:pPr>
              <w:jc w:val="center"/>
              <w:rPr>
                <w:i/>
                <w:color w:val="000000"/>
                <w:sz w:val="22"/>
              </w:rPr>
            </w:pPr>
          </w:p>
        </w:tc>
        <w:tc>
          <w:tcPr>
            <w:tcW w:w="1637" w:type="dxa"/>
            <w:tcBorders>
              <w:top w:val="nil"/>
              <w:bottom w:val="nil"/>
            </w:tcBorders>
          </w:tcPr>
          <w:p w:rsidR="00D07446" w:rsidRDefault="00D07446">
            <w:pPr>
              <w:jc w:val="center"/>
              <w:rPr>
                <w:i/>
                <w:color w:val="000000"/>
                <w:sz w:val="22"/>
              </w:rPr>
            </w:pPr>
            <w:r w:rsidRPr="00D07446">
              <w:rPr>
                <w:i/>
                <w:color w:val="000000"/>
                <w:sz w:val="22"/>
              </w:rPr>
              <w:t>IRF7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D07446" w:rsidRDefault="00D07446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97.91%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D07446" w:rsidRDefault="00D07446" w:rsidP="00D07446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  <w:p w:rsidR="00D07446" w:rsidRDefault="00D07446">
            <w:pPr>
              <w:jc w:val="center"/>
              <w:rPr>
                <w:i/>
                <w:color w:val="000000"/>
                <w:sz w:val="22"/>
              </w:rPr>
            </w:pP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D07446" w:rsidRDefault="00D07446">
            <w:pPr>
              <w:jc w:val="center"/>
              <w:rPr>
                <w:i/>
                <w:color w:val="000000"/>
                <w:sz w:val="22"/>
              </w:rPr>
            </w:pPr>
            <w:r w:rsidRPr="00D07446">
              <w:rPr>
                <w:i/>
                <w:color w:val="000000"/>
                <w:sz w:val="22"/>
              </w:rPr>
              <w:t>TRAM1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D07446" w:rsidRDefault="00D07446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RASSF7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97.91%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HEATR5A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CDK2AP2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97.91%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SLC43A3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ATG2A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97.91%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INSIG2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bookmarkStart w:id="0" w:name="_GoBack"/>
        <w:bookmarkEnd w:id="0"/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CXXC5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97.91%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CKLF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GOLPH3L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97.91%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ERRFI1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CLCA2</w:t>
            </w:r>
          </w:p>
        </w:tc>
        <w:tc>
          <w:tcPr>
            <w:tcW w:w="1637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ADRA2A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RFK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EFNA1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TMEM176A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STON2</w:t>
            </w:r>
          </w:p>
        </w:tc>
        <w:tc>
          <w:tcPr>
            <w:tcW w:w="1637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GPR39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SIL1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IFNAR2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EMB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STON2</w:t>
            </w:r>
          </w:p>
        </w:tc>
        <w:tc>
          <w:tcPr>
            <w:tcW w:w="1637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SNTB1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UBXN2A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vMerge w:val="restart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CLCA2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vMerge w:val="restart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INPP4B</w:t>
            </w:r>
          </w:p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P2RX4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LINC00623</w:t>
            </w:r>
          </w:p>
        </w:tc>
        <w:tc>
          <w:tcPr>
            <w:tcW w:w="1212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vMerge/>
            <w:tcBorders>
              <w:top w:val="nil"/>
            </w:tcBorders>
          </w:tcPr>
          <w:p w:rsidR="00A02FAE" w:rsidRDefault="00A02FAE">
            <w:pPr>
              <w:widowControl/>
              <w:jc w:val="center"/>
              <w:rPr>
                <w:i/>
                <w:color w:val="000000"/>
                <w:kern w:val="0"/>
                <w:sz w:val="22"/>
              </w:rPr>
            </w:pPr>
          </w:p>
        </w:tc>
        <w:tc>
          <w:tcPr>
            <w:tcW w:w="1637" w:type="dxa"/>
            <w:vMerge/>
            <w:tcBorders>
              <w:top w:val="nil"/>
            </w:tcBorders>
          </w:tcPr>
          <w:p w:rsidR="00A02FAE" w:rsidRDefault="00A02FAE">
            <w:pPr>
              <w:widowControl/>
              <w:jc w:val="center"/>
              <w:rPr>
                <w:i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</w:tcBorders>
          </w:tcPr>
          <w:p w:rsidR="00A02FAE" w:rsidRDefault="00AA57A8">
            <w:pPr>
              <w:widowControl/>
              <w:jc w:val="center"/>
              <w:rPr>
                <w:i/>
                <w:color w:val="000000"/>
                <w:kern w:val="0"/>
                <w:sz w:val="22"/>
                <w:highlight w:val="yellow"/>
              </w:rPr>
            </w:pPr>
            <w:r>
              <w:rPr>
                <w:i/>
                <w:color w:val="000000"/>
                <w:sz w:val="22"/>
              </w:rPr>
              <w:t>CLCA2</w:t>
            </w:r>
          </w:p>
        </w:tc>
        <w:tc>
          <w:tcPr>
            <w:tcW w:w="1914" w:type="dxa"/>
            <w:tcBorders>
              <w:top w:val="nil"/>
            </w:tcBorders>
          </w:tcPr>
          <w:p w:rsidR="00A02FAE" w:rsidRDefault="00AA57A8">
            <w:pPr>
              <w:widowControl/>
              <w:jc w:val="center"/>
              <w:rPr>
                <w:i/>
                <w:color w:val="000000"/>
                <w:kern w:val="0"/>
                <w:sz w:val="22"/>
                <w:highlight w:val="yellow"/>
              </w:rPr>
            </w:pPr>
            <w:r>
              <w:rPr>
                <w:i/>
                <w:color w:val="000000"/>
                <w:sz w:val="22"/>
              </w:rPr>
              <w:t>PNMA2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PAM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ATP6V1E1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96.86%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PLS1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CLCA2</w:t>
            </w:r>
          </w:p>
        </w:tc>
        <w:tc>
          <w:tcPr>
            <w:tcW w:w="1914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AZGP1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96.86%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PRNP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DUT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96.86%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PRSS8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CLCA2</w:t>
            </w:r>
          </w:p>
        </w:tc>
        <w:tc>
          <w:tcPr>
            <w:tcW w:w="1914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GLRB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96.86%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RALB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CLCA2</w:t>
            </w:r>
          </w:p>
        </w:tc>
        <w:tc>
          <w:tcPr>
            <w:tcW w:w="1914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CCR10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96.86%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SOAT1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CLCA2</w:t>
            </w:r>
          </w:p>
        </w:tc>
        <w:tc>
          <w:tcPr>
            <w:tcW w:w="1914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ACSM3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96.86%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OGT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CLCA2</w:t>
            </w:r>
          </w:p>
        </w:tc>
        <w:tc>
          <w:tcPr>
            <w:tcW w:w="1914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SNTB1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96.86%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FAM50A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MGST1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96.86%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81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637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LZTS3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97.38%</w:t>
            </w:r>
          </w:p>
        </w:tc>
        <w:tc>
          <w:tcPr>
            <w:tcW w:w="1180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KRT5</w:t>
            </w:r>
          </w:p>
        </w:tc>
        <w:tc>
          <w:tcPr>
            <w:tcW w:w="1914" w:type="dxa"/>
            <w:tcBorders>
              <w:top w:val="nil"/>
            </w:tcBorders>
          </w:tcPr>
          <w:p w:rsidR="00A02FAE" w:rsidRDefault="00AA57A8">
            <w:pPr>
              <w:jc w:val="center"/>
              <w:rPr>
                <w:i/>
                <w:color w:val="000000"/>
                <w:sz w:val="22"/>
              </w:rPr>
            </w:pPr>
            <w:r>
              <w:rPr>
                <w:i/>
                <w:color w:val="000000"/>
                <w:sz w:val="22"/>
              </w:rPr>
              <w:t>NDUFA6</w:t>
            </w:r>
          </w:p>
        </w:tc>
        <w:tc>
          <w:tcPr>
            <w:tcW w:w="1212" w:type="dxa"/>
            <w:tcBorders>
              <w:top w:val="nil"/>
            </w:tcBorders>
            <w:vAlign w:val="center"/>
          </w:tcPr>
          <w:p w:rsidR="00A02FAE" w:rsidRDefault="00AA57A8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96.86%</w:t>
            </w:r>
          </w:p>
        </w:tc>
      </w:tr>
    </w:tbl>
    <w:p w:rsidR="00A02FAE" w:rsidRDefault="00AA57A8" w:rsidP="00AB71FC">
      <w:pPr>
        <w:spacing w:line="480" w:lineRule="auto"/>
        <w:rPr>
          <w:color w:val="000000"/>
          <w:kern w:val="0"/>
          <w:sz w:val="22"/>
        </w:rPr>
      </w:pPr>
      <w:r>
        <w:rPr>
          <w:rFonts w:hint="eastAsia"/>
          <w:sz w:val="22"/>
        </w:rPr>
        <w:t>A</w:t>
      </w:r>
      <w:r>
        <w:rPr>
          <w:sz w:val="22"/>
        </w:rPr>
        <w:t xml:space="preserve"> specific REO pattern (E</w:t>
      </w:r>
      <w:r>
        <w:rPr>
          <w:i/>
          <w:sz w:val="22"/>
        </w:rPr>
        <w:t>a</w:t>
      </w:r>
      <w:r>
        <w:rPr>
          <w:sz w:val="22"/>
        </w:rPr>
        <w:t xml:space="preserve"> &gt; E</w:t>
      </w:r>
      <w:r>
        <w:rPr>
          <w:i/>
          <w:sz w:val="22"/>
        </w:rPr>
        <w:t>b</w:t>
      </w:r>
      <w:r>
        <w:rPr>
          <w:sz w:val="22"/>
        </w:rPr>
        <w:t>), where E</w:t>
      </w:r>
      <w:r>
        <w:rPr>
          <w:i/>
          <w:sz w:val="22"/>
        </w:rPr>
        <w:t>a</w:t>
      </w:r>
      <w:r>
        <w:rPr>
          <w:sz w:val="22"/>
        </w:rPr>
        <w:t xml:space="preserve"> and E</w:t>
      </w:r>
      <w:r>
        <w:rPr>
          <w:i/>
          <w:sz w:val="22"/>
        </w:rPr>
        <w:t>b</w:t>
      </w:r>
      <w:r>
        <w:rPr>
          <w:sz w:val="22"/>
        </w:rPr>
        <w:t xml:space="preserve"> represent the expression levels of gene </w:t>
      </w:r>
      <w:r>
        <w:rPr>
          <w:i/>
          <w:sz w:val="22"/>
        </w:rPr>
        <w:t>a</w:t>
      </w:r>
      <w:r>
        <w:rPr>
          <w:sz w:val="22"/>
        </w:rPr>
        <w:t xml:space="preserve"> and </w:t>
      </w:r>
      <w:r>
        <w:rPr>
          <w:i/>
          <w:sz w:val="22"/>
        </w:rPr>
        <w:t>b</w:t>
      </w:r>
      <w:r>
        <w:rPr>
          <w:sz w:val="22"/>
        </w:rPr>
        <w:t>, respectively,</w:t>
      </w:r>
      <w:r>
        <w:rPr>
          <w:rFonts w:hint="eastAsia"/>
          <w:sz w:val="22"/>
        </w:rPr>
        <w:t xml:space="preserve"> votes SCC</w:t>
      </w:r>
      <w:r>
        <w:rPr>
          <w:sz w:val="22"/>
        </w:rPr>
        <w:t>; otherwise ADC</w:t>
      </w:r>
      <w:r>
        <w:rPr>
          <w:rFonts w:hint="eastAsia"/>
          <w:sz w:val="22"/>
        </w:rPr>
        <w:t>. C-score</w:t>
      </w:r>
      <w:r>
        <w:rPr>
          <w:rFonts w:hint="eastAsia"/>
          <w:b/>
          <w:sz w:val="22"/>
        </w:rPr>
        <w:t xml:space="preserve"> </w:t>
      </w:r>
      <w:r>
        <w:rPr>
          <w:color w:val="000000"/>
          <w:kern w:val="0"/>
          <w:sz w:val="22"/>
        </w:rPr>
        <w:t>represents the concordance score of histologic classification between each subtype-</w:t>
      </w:r>
      <w:r>
        <w:rPr>
          <w:rFonts w:hint="eastAsia"/>
          <w:color w:val="000000"/>
          <w:kern w:val="0"/>
          <w:sz w:val="22"/>
        </w:rPr>
        <w:t>opposite</w:t>
      </w:r>
      <w:r>
        <w:rPr>
          <w:color w:val="000000"/>
          <w:kern w:val="0"/>
          <w:sz w:val="22"/>
        </w:rPr>
        <w:t xml:space="preserve"> gene pair and routine patholog</w:t>
      </w:r>
      <w:r>
        <w:rPr>
          <w:rFonts w:hint="eastAsia"/>
          <w:color w:val="000000"/>
          <w:kern w:val="0"/>
          <w:sz w:val="22"/>
        </w:rPr>
        <w:t>ical</w:t>
      </w:r>
      <w:r>
        <w:rPr>
          <w:color w:val="000000"/>
          <w:kern w:val="0"/>
          <w:sz w:val="22"/>
        </w:rPr>
        <w:t xml:space="preserve"> assessment</w:t>
      </w:r>
      <w:r>
        <w:rPr>
          <w:rFonts w:hint="eastAsia"/>
          <w:color w:val="000000"/>
          <w:kern w:val="0"/>
          <w:sz w:val="22"/>
        </w:rPr>
        <w:t>.</w:t>
      </w:r>
    </w:p>
    <w:p w:rsidR="00AB71FC" w:rsidRDefault="00AB71FC" w:rsidP="00AB71FC">
      <w:pPr>
        <w:spacing w:line="480" w:lineRule="auto"/>
        <w:rPr>
          <w:color w:val="000000"/>
          <w:kern w:val="0"/>
          <w:sz w:val="22"/>
        </w:rPr>
      </w:pPr>
    </w:p>
    <w:p w:rsidR="00AB71FC" w:rsidRDefault="00AB71FC" w:rsidP="00AB71FC">
      <w:pPr>
        <w:spacing w:line="480" w:lineRule="auto"/>
        <w:rPr>
          <w:color w:val="000000"/>
          <w:kern w:val="0"/>
          <w:sz w:val="22"/>
        </w:rPr>
      </w:pPr>
    </w:p>
    <w:p w:rsidR="00AB71FC" w:rsidRPr="00AB71FC" w:rsidRDefault="00AB71FC" w:rsidP="00AB71FC">
      <w:pPr>
        <w:spacing w:line="480" w:lineRule="auto"/>
        <w:rPr>
          <w:color w:val="000000"/>
          <w:kern w:val="0"/>
          <w:sz w:val="22"/>
        </w:rPr>
      </w:pPr>
    </w:p>
    <w:p w:rsidR="00A02FAE" w:rsidRDefault="00AA57A8" w:rsidP="006276EA">
      <w:pPr>
        <w:spacing w:line="480" w:lineRule="auto"/>
        <w:jc w:val="left"/>
        <w:rPr>
          <w:b/>
          <w:sz w:val="22"/>
        </w:rPr>
      </w:pPr>
      <w:r>
        <w:rPr>
          <w:b/>
          <w:sz w:val="22"/>
        </w:rPr>
        <w:t xml:space="preserve">Supplementary Table </w:t>
      </w:r>
      <w:r>
        <w:rPr>
          <w:rFonts w:hint="eastAsia"/>
          <w:b/>
          <w:sz w:val="22"/>
        </w:rPr>
        <w:t>3</w:t>
      </w:r>
      <w:r>
        <w:rPr>
          <w:b/>
          <w:sz w:val="22"/>
        </w:rPr>
        <w:t xml:space="preserve">. The reclassifications by our signature for pSCC and pADC samples in test datasets </w:t>
      </w:r>
    </w:p>
    <w:p w:rsidR="00A02FAE" w:rsidRDefault="00A02FAE">
      <w:pPr>
        <w:jc w:val="left"/>
        <w:rPr>
          <w:b/>
          <w:sz w:val="22"/>
        </w:rPr>
      </w:pP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16"/>
        <w:gridCol w:w="1413"/>
        <w:gridCol w:w="611"/>
        <w:gridCol w:w="707"/>
        <w:gridCol w:w="810"/>
        <w:gridCol w:w="914"/>
        <w:gridCol w:w="775"/>
        <w:gridCol w:w="877"/>
        <w:gridCol w:w="837"/>
      </w:tblGrid>
      <w:tr w:rsidR="00A02FAE">
        <w:trPr>
          <w:trHeight w:hRule="exact" w:val="385"/>
          <w:jc w:val="center"/>
        </w:trPr>
        <w:tc>
          <w:tcPr>
            <w:tcW w:w="111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02FAE" w:rsidRDefault="00A02FA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Data Source</w:t>
            </w:r>
          </w:p>
        </w:tc>
        <w:tc>
          <w:tcPr>
            <w:tcW w:w="611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pSCC</w:t>
            </w:r>
          </w:p>
        </w:tc>
        <w:tc>
          <w:tcPr>
            <w:tcW w:w="707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pADC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C-score</w:t>
            </w:r>
          </w:p>
        </w:tc>
        <w:tc>
          <w:tcPr>
            <w:tcW w:w="914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Re(</w:t>
            </w:r>
            <w:r>
              <w:rPr>
                <w:rFonts w:hint="eastAsia"/>
                <w:b/>
                <w:bCs/>
                <w:color w:val="000000"/>
                <w:kern w:val="0"/>
                <w:sz w:val="22"/>
              </w:rPr>
              <w:t>ADC</w:t>
            </w:r>
            <w:r>
              <w:rPr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Rate 1</w:t>
            </w:r>
          </w:p>
        </w:tc>
        <w:tc>
          <w:tcPr>
            <w:tcW w:w="877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Re(</w:t>
            </w:r>
            <w:r>
              <w:rPr>
                <w:rFonts w:hint="eastAsia"/>
                <w:b/>
                <w:bCs/>
                <w:color w:val="000000"/>
                <w:kern w:val="0"/>
                <w:sz w:val="22"/>
              </w:rPr>
              <w:t>SCC</w:t>
            </w:r>
            <w:r>
              <w:rPr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837" w:type="dxa"/>
            <w:tcBorders>
              <w:top w:val="single" w:sz="12" w:space="0" w:color="auto"/>
              <w:bottom w:val="single" w:sz="12" w:space="0" w:color="auto"/>
            </w:tcBorders>
          </w:tcPr>
          <w:p w:rsidR="00A02FAE" w:rsidRDefault="00AA57A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b/>
                <w:bCs/>
                <w:color w:val="000000"/>
                <w:kern w:val="0"/>
                <w:sz w:val="22"/>
              </w:rPr>
              <w:t>Rate 2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Merge w:val="restart"/>
            <w:tcBorders>
              <w:top w:val="single" w:sz="12" w:space="0" w:color="auto"/>
            </w:tcBorders>
            <w:vAlign w:val="center"/>
          </w:tcPr>
          <w:p w:rsidR="00A02FAE" w:rsidRDefault="00AA57A8">
            <w:pPr>
              <w:widowControl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Integrated</w:t>
            </w:r>
            <w:r>
              <w:rPr>
                <w:rFonts w:hint="eastAsia"/>
                <w:b/>
                <w:sz w:val="24"/>
              </w:rPr>
              <w:t xml:space="preserve"> data</w:t>
            </w:r>
          </w:p>
          <w:p w:rsidR="00A02FAE" w:rsidRDefault="00AA57A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(f</w:t>
            </w:r>
            <w:r>
              <w:rPr>
                <w:color w:val="000000"/>
                <w:kern w:val="0"/>
                <w:sz w:val="22"/>
              </w:rPr>
              <w:t>rozen</w:t>
            </w:r>
            <w:r>
              <w:rPr>
                <w:rFonts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413" w:type="dxa"/>
            <w:tcBorders>
              <w:top w:val="single" w:sz="12" w:space="0" w:color="auto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E-MTAB-2435</w:t>
            </w:r>
          </w:p>
        </w:tc>
        <w:tc>
          <w:tcPr>
            <w:tcW w:w="611" w:type="dxa"/>
            <w:tcBorders>
              <w:top w:val="single" w:sz="12" w:space="0" w:color="auto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07" w:type="dxa"/>
            <w:tcBorders>
              <w:top w:val="single" w:sz="12" w:space="0" w:color="auto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810" w:type="dxa"/>
            <w:tcBorders>
              <w:top w:val="single" w:sz="12" w:space="0" w:color="auto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98.4</w:t>
            </w:r>
            <w:r>
              <w:rPr>
                <w:rFonts w:hint="eastAsia"/>
                <w:color w:val="000000"/>
                <w:kern w:val="0"/>
                <w:sz w:val="22"/>
              </w:rPr>
              <w:t>1</w:t>
            </w:r>
            <w:r>
              <w:rPr>
                <w:color w:val="000000"/>
                <w:kern w:val="0"/>
                <w:sz w:val="22"/>
              </w:rPr>
              <w:t>%</w:t>
            </w:r>
          </w:p>
        </w:tc>
        <w:tc>
          <w:tcPr>
            <w:tcW w:w="914" w:type="dxa"/>
            <w:tcBorders>
              <w:top w:val="single" w:sz="12" w:space="0" w:color="auto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</w:t>
            </w:r>
          </w:p>
        </w:tc>
        <w:tc>
          <w:tcPr>
            <w:tcW w:w="775" w:type="dxa"/>
            <w:tcBorders>
              <w:top w:val="single" w:sz="12" w:space="0" w:color="auto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1.5</w:t>
            </w:r>
            <w:r>
              <w:rPr>
                <w:rFonts w:hint="eastAsia"/>
                <w:color w:val="000000"/>
                <w:kern w:val="0"/>
                <w:sz w:val="22"/>
              </w:rPr>
              <w:t>9</w:t>
            </w:r>
            <w:r>
              <w:rPr>
                <w:color w:val="000000"/>
                <w:kern w:val="0"/>
                <w:sz w:val="22"/>
              </w:rPr>
              <w:t>%</w:t>
            </w:r>
          </w:p>
        </w:tc>
        <w:tc>
          <w:tcPr>
            <w:tcW w:w="877" w:type="dxa"/>
            <w:tcBorders>
              <w:top w:val="single" w:sz="12" w:space="0" w:color="auto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837" w:type="dxa"/>
            <w:tcBorders>
              <w:top w:val="single" w:sz="12" w:space="0" w:color="auto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--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Merge/>
            <w:vAlign w:val="center"/>
          </w:tcPr>
          <w:p w:rsidR="00A02FAE" w:rsidRDefault="00A02FAE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GSE42127</w:t>
            </w:r>
          </w:p>
        </w:tc>
        <w:tc>
          <w:tcPr>
            <w:tcW w:w="611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</w:t>
            </w:r>
            <w:r>
              <w:rPr>
                <w:rFonts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9</w:t>
            </w:r>
            <w:r>
              <w:rPr>
                <w:rFonts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88.</w:t>
            </w:r>
            <w:r>
              <w:rPr>
                <w:rFonts w:hint="eastAsia"/>
                <w:color w:val="000000"/>
                <w:kern w:val="0"/>
                <w:sz w:val="22"/>
              </w:rPr>
              <w:t>52</w:t>
            </w:r>
            <w:r>
              <w:rPr>
                <w:color w:val="000000"/>
                <w:kern w:val="0"/>
                <w:sz w:val="22"/>
              </w:rPr>
              <w:t>%</w:t>
            </w:r>
          </w:p>
        </w:tc>
        <w:tc>
          <w:tcPr>
            <w:tcW w:w="914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775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15.</w:t>
            </w:r>
            <w:r>
              <w:rPr>
                <w:rFonts w:hint="eastAsia"/>
                <w:color w:val="000000"/>
                <w:kern w:val="0"/>
                <w:sz w:val="22"/>
              </w:rPr>
              <w:t>63</w:t>
            </w:r>
            <w:r>
              <w:rPr>
                <w:color w:val="000000"/>
                <w:kern w:val="0"/>
                <w:sz w:val="22"/>
              </w:rPr>
              <w:t>%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10.00</w:t>
            </w:r>
            <w:r>
              <w:rPr>
                <w:color w:val="000000"/>
                <w:kern w:val="0"/>
                <w:sz w:val="22"/>
              </w:rPr>
              <w:t>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Merge/>
            <w:vAlign w:val="center"/>
          </w:tcPr>
          <w:p w:rsidR="00A02FAE" w:rsidRDefault="00A02FAE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GSE50081</w:t>
            </w:r>
          </w:p>
        </w:tc>
        <w:tc>
          <w:tcPr>
            <w:tcW w:w="611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43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127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87.65%</w:t>
            </w:r>
          </w:p>
        </w:tc>
        <w:tc>
          <w:tcPr>
            <w:tcW w:w="914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6</w:t>
            </w:r>
          </w:p>
        </w:tc>
        <w:tc>
          <w:tcPr>
            <w:tcW w:w="775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13.95%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11.81%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Merge/>
            <w:vAlign w:val="center"/>
          </w:tcPr>
          <w:p w:rsidR="00A02FAE" w:rsidRDefault="00A02FAE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GSE37745</w:t>
            </w:r>
          </w:p>
        </w:tc>
        <w:tc>
          <w:tcPr>
            <w:tcW w:w="611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24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92.19%</w:t>
            </w:r>
          </w:p>
        </w:tc>
        <w:tc>
          <w:tcPr>
            <w:tcW w:w="914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775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12.50%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5.00%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Merge/>
            <w:vAlign w:val="center"/>
          </w:tcPr>
          <w:p w:rsidR="00A02FAE" w:rsidRDefault="00A02FAE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GSE31210</w:t>
            </w:r>
          </w:p>
        </w:tc>
        <w:tc>
          <w:tcPr>
            <w:tcW w:w="611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204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99.02%</w:t>
            </w:r>
          </w:p>
        </w:tc>
        <w:tc>
          <w:tcPr>
            <w:tcW w:w="914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75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--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0.98%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Merge/>
            <w:vAlign w:val="center"/>
          </w:tcPr>
          <w:p w:rsidR="00A02FAE" w:rsidRDefault="00A02FAE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GSE31546</w:t>
            </w:r>
          </w:p>
        </w:tc>
        <w:tc>
          <w:tcPr>
            <w:tcW w:w="611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100%</w:t>
            </w:r>
          </w:p>
        </w:tc>
        <w:tc>
          <w:tcPr>
            <w:tcW w:w="914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75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--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Merge/>
            <w:vAlign w:val="center"/>
          </w:tcPr>
          <w:p w:rsidR="00A02FAE" w:rsidRDefault="00A02FAE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GSE14814</w:t>
            </w:r>
          </w:p>
        </w:tc>
        <w:tc>
          <w:tcPr>
            <w:tcW w:w="611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26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32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94.83%</w:t>
            </w:r>
          </w:p>
        </w:tc>
        <w:tc>
          <w:tcPr>
            <w:tcW w:w="914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</w:t>
            </w:r>
          </w:p>
        </w:tc>
        <w:tc>
          <w:tcPr>
            <w:tcW w:w="775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3.85%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6.25%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Merge/>
            <w:vAlign w:val="center"/>
          </w:tcPr>
          <w:p w:rsidR="00A02FAE" w:rsidRDefault="00A02FAE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GSE68465</w:t>
            </w:r>
          </w:p>
        </w:tc>
        <w:tc>
          <w:tcPr>
            <w:tcW w:w="611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98.66</w:t>
            </w:r>
            <w:r>
              <w:rPr>
                <w:color w:val="000000"/>
                <w:kern w:val="0"/>
                <w:sz w:val="22"/>
              </w:rPr>
              <w:t>%</w:t>
            </w:r>
          </w:p>
        </w:tc>
        <w:tc>
          <w:tcPr>
            <w:tcW w:w="914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775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--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1.34%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Merge/>
            <w:vAlign w:val="center"/>
          </w:tcPr>
          <w:p w:rsidR="00A02FAE" w:rsidRDefault="00A02FAE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Total</w:t>
            </w:r>
          </w:p>
        </w:tc>
        <w:tc>
          <w:tcPr>
            <w:tcW w:w="611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805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9</w:t>
            </w:r>
            <w:r>
              <w:rPr>
                <w:rFonts w:hint="eastAsia"/>
                <w:color w:val="000000"/>
                <w:kern w:val="0"/>
                <w:sz w:val="22"/>
              </w:rPr>
              <w:t>4.96</w:t>
            </w:r>
            <w:r>
              <w:rPr>
                <w:color w:val="000000"/>
                <w:kern w:val="0"/>
                <w:sz w:val="22"/>
              </w:rPr>
              <w:t>%</w:t>
            </w:r>
          </w:p>
        </w:tc>
        <w:tc>
          <w:tcPr>
            <w:tcW w:w="914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</w:t>
            </w:r>
            <w:r>
              <w:rPr>
                <w:rFonts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75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8.</w:t>
            </w:r>
            <w:r>
              <w:rPr>
                <w:rFonts w:hint="eastAsia"/>
                <w:color w:val="000000"/>
                <w:kern w:val="0"/>
                <w:sz w:val="22"/>
              </w:rPr>
              <w:t>51</w:t>
            </w:r>
            <w:r>
              <w:rPr>
                <w:color w:val="000000"/>
                <w:kern w:val="0"/>
                <w:sz w:val="22"/>
              </w:rPr>
              <w:t>%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</w:t>
            </w:r>
            <w:r>
              <w:rPr>
                <w:rFonts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4.</w:t>
            </w:r>
            <w:r>
              <w:rPr>
                <w:rFonts w:hint="eastAsia"/>
                <w:color w:val="000000"/>
                <w:kern w:val="0"/>
                <w:sz w:val="22"/>
              </w:rPr>
              <w:t>22</w:t>
            </w:r>
            <w:r>
              <w:rPr>
                <w:color w:val="000000"/>
                <w:kern w:val="0"/>
                <w:sz w:val="22"/>
              </w:rPr>
              <w:t>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Align w:val="center"/>
          </w:tcPr>
          <w:p w:rsidR="00A02FAE" w:rsidRDefault="00AA57A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FFPE</w:t>
            </w: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GSE44170</w:t>
            </w:r>
          </w:p>
        </w:tc>
        <w:tc>
          <w:tcPr>
            <w:tcW w:w="611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92.11%</w:t>
            </w:r>
          </w:p>
        </w:tc>
        <w:tc>
          <w:tcPr>
            <w:tcW w:w="914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5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7.89%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--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Align w:val="center"/>
          </w:tcPr>
          <w:p w:rsidR="00A02FAE" w:rsidRDefault="00AA57A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mixed</w:t>
            </w: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TCGA</w:t>
            </w:r>
          </w:p>
        </w:tc>
        <w:tc>
          <w:tcPr>
            <w:tcW w:w="611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499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498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90.75%</w:t>
            </w:r>
          </w:p>
        </w:tc>
        <w:tc>
          <w:tcPr>
            <w:tcW w:w="914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775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16.43%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2.41%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Align w:val="center"/>
          </w:tcPr>
          <w:p w:rsidR="00A02FAE" w:rsidRDefault="00AA57A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biopsy</w:t>
            </w: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GSE58661</w:t>
            </w:r>
          </w:p>
        </w:tc>
        <w:tc>
          <w:tcPr>
            <w:tcW w:w="611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36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42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92.31%</w:t>
            </w:r>
          </w:p>
        </w:tc>
        <w:tc>
          <w:tcPr>
            <w:tcW w:w="914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775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11.11%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4.76%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Align w:val="center"/>
          </w:tcPr>
          <w:p w:rsidR="00A02FAE" w:rsidRDefault="00AA57A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frozen</w:t>
            </w:r>
          </w:p>
        </w:tc>
        <w:tc>
          <w:tcPr>
            <w:tcW w:w="1413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GSE94601</w:t>
            </w:r>
          </w:p>
        </w:tc>
        <w:tc>
          <w:tcPr>
            <w:tcW w:w="611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4</w:t>
            </w:r>
            <w:r>
              <w:rPr>
                <w:rFonts w:hint="eastAsia"/>
                <w:color w:val="000000"/>
                <w:kern w:val="0"/>
                <w:sz w:val="22"/>
                <w:vertAlign w:val="superscript"/>
              </w:rPr>
              <w:t>#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19</w:t>
            </w:r>
            <w:r>
              <w:rPr>
                <w:rFonts w:hint="eastAsia"/>
                <w:color w:val="000000"/>
                <w:kern w:val="0"/>
                <w:sz w:val="22"/>
                <w:vertAlign w:val="superscript"/>
              </w:rPr>
              <w:t>#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91.30%</w:t>
            </w:r>
          </w:p>
        </w:tc>
        <w:tc>
          <w:tcPr>
            <w:tcW w:w="914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775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50.00%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  <w:highlight w:val="yellow"/>
              </w:rPr>
            </w:pPr>
            <w:r>
              <w:rPr>
                <w:color w:val="000000"/>
                <w:kern w:val="0"/>
                <w:sz w:val="22"/>
              </w:rPr>
              <w:t>0</w:t>
            </w:r>
          </w:p>
        </w:tc>
      </w:tr>
      <w:tr w:rsidR="00A02FAE">
        <w:trPr>
          <w:trHeight w:hRule="exact" w:val="340"/>
          <w:jc w:val="center"/>
        </w:trPr>
        <w:tc>
          <w:tcPr>
            <w:tcW w:w="1116" w:type="dxa"/>
            <w:vAlign w:val="center"/>
          </w:tcPr>
          <w:p w:rsidR="00A02FAE" w:rsidRDefault="00AA57A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413" w:type="dxa"/>
            <w:tcBorders>
              <w:top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--</w:t>
            </w:r>
          </w:p>
        </w:tc>
        <w:tc>
          <w:tcPr>
            <w:tcW w:w="611" w:type="dxa"/>
            <w:tcBorders>
              <w:top w:val="nil"/>
            </w:tcBorders>
            <w:vAlign w:val="center"/>
          </w:tcPr>
          <w:p w:rsidR="00A02FAE" w:rsidRDefault="00AA57A8" w:rsidP="00200475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7</w:t>
            </w:r>
            <w:r w:rsidR="00200475">
              <w:rPr>
                <w:color w:val="000000"/>
                <w:kern w:val="0"/>
                <w:sz w:val="22"/>
              </w:rPr>
              <w:t>65</w:t>
            </w:r>
          </w:p>
        </w:tc>
        <w:tc>
          <w:tcPr>
            <w:tcW w:w="707" w:type="dxa"/>
            <w:tcBorders>
              <w:top w:val="nil"/>
            </w:tcBorders>
            <w:vAlign w:val="center"/>
          </w:tcPr>
          <w:p w:rsidR="00A02FAE" w:rsidRDefault="00AA57A8" w:rsidP="00200475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13</w:t>
            </w:r>
            <w:r w:rsidR="00200475">
              <w:rPr>
                <w:color w:val="000000"/>
                <w:kern w:val="0"/>
                <w:sz w:val="22"/>
              </w:rPr>
              <w:t>64</w:t>
            </w:r>
          </w:p>
        </w:tc>
        <w:tc>
          <w:tcPr>
            <w:tcW w:w="810" w:type="dxa"/>
            <w:tcBorders>
              <w:top w:val="nil"/>
            </w:tcBorders>
            <w:vAlign w:val="center"/>
          </w:tcPr>
          <w:p w:rsidR="00A02FAE" w:rsidRDefault="00AA57A8" w:rsidP="00200475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92.7</w:t>
            </w:r>
            <w:r w:rsidR="00200475">
              <w:rPr>
                <w:color w:val="000000"/>
                <w:kern w:val="0"/>
                <w:sz w:val="22"/>
              </w:rPr>
              <w:t>2</w:t>
            </w:r>
            <w:r>
              <w:rPr>
                <w:rFonts w:hint="eastAsia"/>
                <w:color w:val="000000"/>
                <w:kern w:val="0"/>
                <w:sz w:val="22"/>
              </w:rPr>
              <w:t>%</w:t>
            </w:r>
          </w:p>
        </w:tc>
        <w:tc>
          <w:tcPr>
            <w:tcW w:w="914" w:type="dxa"/>
            <w:tcBorders>
              <w:top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775" w:type="dxa"/>
            <w:tcBorders>
              <w:top w:val="nil"/>
            </w:tcBorders>
            <w:vAlign w:val="center"/>
          </w:tcPr>
          <w:p w:rsidR="00A02FAE" w:rsidRDefault="00200475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13.9</w:t>
            </w:r>
            <w:r>
              <w:rPr>
                <w:color w:val="000000"/>
                <w:kern w:val="0"/>
                <w:sz w:val="22"/>
              </w:rPr>
              <w:t>9</w:t>
            </w:r>
            <w:r w:rsidR="00AA57A8">
              <w:rPr>
                <w:rFonts w:hint="eastAsia"/>
                <w:color w:val="000000"/>
                <w:kern w:val="0"/>
                <w:sz w:val="22"/>
              </w:rPr>
              <w:t>%</w:t>
            </w:r>
          </w:p>
        </w:tc>
        <w:tc>
          <w:tcPr>
            <w:tcW w:w="877" w:type="dxa"/>
            <w:tcBorders>
              <w:top w:val="nil"/>
            </w:tcBorders>
            <w:vAlign w:val="center"/>
          </w:tcPr>
          <w:p w:rsidR="00A02FAE" w:rsidRDefault="00AA57A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837" w:type="dxa"/>
            <w:tcBorders>
              <w:top w:val="nil"/>
            </w:tcBorders>
            <w:vAlign w:val="center"/>
          </w:tcPr>
          <w:p w:rsidR="00A02FAE" w:rsidRDefault="00200475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3.52</w:t>
            </w:r>
            <w:r w:rsidR="00AA57A8">
              <w:rPr>
                <w:rFonts w:hint="eastAsia"/>
                <w:color w:val="000000"/>
                <w:kern w:val="0"/>
                <w:sz w:val="22"/>
              </w:rPr>
              <w:t>%</w:t>
            </w:r>
          </w:p>
        </w:tc>
      </w:tr>
    </w:tbl>
    <w:p w:rsidR="00AB71FC" w:rsidRDefault="00AA57A8" w:rsidP="00AB71FC">
      <w:pPr>
        <w:spacing w:line="480" w:lineRule="auto"/>
        <w:rPr>
          <w:b/>
          <w:szCs w:val="21"/>
        </w:rPr>
      </w:pPr>
      <w:r>
        <w:rPr>
          <w:rFonts w:hint="eastAsia"/>
          <w:szCs w:val="21"/>
        </w:rPr>
        <w:t>C-score</w:t>
      </w:r>
      <w:r>
        <w:rPr>
          <w:rFonts w:hint="eastAsia"/>
          <w:b/>
          <w:szCs w:val="21"/>
        </w:rPr>
        <w:t xml:space="preserve"> </w:t>
      </w:r>
      <w:r>
        <w:rPr>
          <w:color w:val="000000"/>
          <w:kern w:val="0"/>
          <w:sz w:val="22"/>
        </w:rPr>
        <w:t xml:space="preserve">represents the concordance score of histologic classification between </w:t>
      </w:r>
      <w:r>
        <w:rPr>
          <w:rFonts w:hint="eastAsia"/>
          <w:color w:val="000000"/>
          <w:kern w:val="0"/>
          <w:sz w:val="22"/>
        </w:rPr>
        <w:t>signature</w:t>
      </w:r>
      <w:r>
        <w:rPr>
          <w:color w:val="000000"/>
          <w:kern w:val="0"/>
          <w:sz w:val="22"/>
        </w:rPr>
        <w:t xml:space="preserve"> and routine patholog</w:t>
      </w:r>
      <w:r>
        <w:rPr>
          <w:rFonts w:hint="eastAsia"/>
          <w:color w:val="000000"/>
          <w:kern w:val="0"/>
          <w:sz w:val="22"/>
        </w:rPr>
        <w:t>ical</w:t>
      </w:r>
      <w:r>
        <w:rPr>
          <w:color w:val="000000"/>
          <w:kern w:val="0"/>
          <w:sz w:val="22"/>
        </w:rPr>
        <w:t xml:space="preserve"> assessment; </w:t>
      </w:r>
      <w:r>
        <w:rPr>
          <w:color w:val="000000"/>
          <w:kern w:val="0"/>
          <w:sz w:val="22"/>
        </w:rPr>
        <w:br/>
        <w:t>Re(</w:t>
      </w:r>
      <w:r>
        <w:rPr>
          <w:rFonts w:hint="eastAsia"/>
          <w:color w:val="000000"/>
          <w:kern w:val="0"/>
          <w:sz w:val="22"/>
        </w:rPr>
        <w:t>ADC</w:t>
      </w:r>
      <w:r>
        <w:rPr>
          <w:color w:val="000000"/>
          <w:kern w:val="0"/>
          <w:sz w:val="22"/>
        </w:rPr>
        <w:t xml:space="preserve">) represents the number of pSCC samples reclassified as ADC by </w:t>
      </w:r>
      <w:r>
        <w:rPr>
          <w:rFonts w:hint="eastAsia"/>
          <w:color w:val="000000"/>
          <w:kern w:val="0"/>
          <w:sz w:val="22"/>
        </w:rPr>
        <w:t>signature;</w:t>
      </w:r>
      <w:r>
        <w:rPr>
          <w:color w:val="000000"/>
          <w:kern w:val="0"/>
          <w:sz w:val="22"/>
        </w:rPr>
        <w:br/>
        <w:t xml:space="preserve">Rate 1 represents the proportion of pSCC samples reclassified as ADC; </w:t>
      </w:r>
      <w:r>
        <w:rPr>
          <w:color w:val="000000"/>
          <w:kern w:val="0"/>
          <w:sz w:val="22"/>
        </w:rPr>
        <w:br/>
        <w:t>Re(</w:t>
      </w:r>
      <w:r>
        <w:rPr>
          <w:rFonts w:hint="eastAsia"/>
          <w:color w:val="000000"/>
          <w:kern w:val="0"/>
          <w:sz w:val="22"/>
        </w:rPr>
        <w:t>SCC</w:t>
      </w:r>
      <w:r>
        <w:rPr>
          <w:color w:val="000000"/>
          <w:kern w:val="0"/>
          <w:sz w:val="22"/>
        </w:rPr>
        <w:t>) represents the number of pADC samples reclassified as SCC by signat</w:t>
      </w:r>
      <w:r>
        <w:rPr>
          <w:rFonts w:hint="eastAsia"/>
          <w:color w:val="000000"/>
          <w:kern w:val="0"/>
          <w:sz w:val="22"/>
        </w:rPr>
        <w:t>ur</w:t>
      </w:r>
      <w:r>
        <w:rPr>
          <w:color w:val="000000"/>
          <w:kern w:val="0"/>
          <w:sz w:val="22"/>
        </w:rPr>
        <w:t>e;</w:t>
      </w:r>
      <w:r>
        <w:rPr>
          <w:color w:val="000000"/>
          <w:kern w:val="0"/>
          <w:sz w:val="22"/>
        </w:rPr>
        <w:br/>
        <w:t>Rate 2 represents the proportion of pADC samples reclassified as SCC;</w:t>
      </w:r>
      <w:r>
        <w:rPr>
          <w:color w:val="000000"/>
          <w:kern w:val="0"/>
          <w:sz w:val="22"/>
        </w:rPr>
        <w:br/>
        <w:t># the 4 pSCCs and 19 pADCs samples are poorly differentiated which were improperly assigned to LCC subtype before and reclassified by the authors using SCC and ADC immunomarkers.</w:t>
      </w:r>
    </w:p>
    <w:p w:rsidR="00AB71FC" w:rsidRDefault="00AB71FC" w:rsidP="00AB71FC">
      <w:pPr>
        <w:spacing w:line="480" w:lineRule="auto"/>
        <w:rPr>
          <w:b/>
          <w:szCs w:val="21"/>
        </w:rPr>
      </w:pPr>
    </w:p>
    <w:p w:rsidR="00AB71FC" w:rsidRPr="00AB71FC" w:rsidRDefault="00AB71FC" w:rsidP="00AB71FC">
      <w:pPr>
        <w:spacing w:line="480" w:lineRule="auto"/>
        <w:rPr>
          <w:b/>
          <w:szCs w:val="21"/>
        </w:rPr>
      </w:pPr>
    </w:p>
    <w:p w:rsidR="00A02FAE" w:rsidRDefault="00AA57A8" w:rsidP="006276EA">
      <w:pPr>
        <w:adjustRightInd w:val="0"/>
        <w:spacing w:line="480" w:lineRule="auto"/>
        <w:rPr>
          <w:b/>
          <w:color w:val="000000"/>
          <w:kern w:val="0"/>
          <w:sz w:val="22"/>
          <w:lang w:bidi="ar"/>
        </w:rPr>
      </w:pPr>
      <w:r>
        <w:rPr>
          <w:b/>
          <w:color w:val="000000"/>
          <w:kern w:val="0"/>
          <w:sz w:val="22"/>
          <w:lang w:bidi="ar"/>
        </w:rPr>
        <w:t>Supplementary Table 4. Multivariate Cox regression analysis for the pADC reclassified as SCC samples and signature-confirmed pADC samples in the integrated dataset</w:t>
      </w:r>
    </w:p>
    <w:tbl>
      <w:tblPr>
        <w:tblpPr w:leftFromText="180" w:rightFromText="180" w:vertAnchor="text" w:horzAnchor="page" w:tblpX="1885" w:tblpY="250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107"/>
        <w:gridCol w:w="1397"/>
        <w:gridCol w:w="852"/>
        <w:gridCol w:w="980"/>
      </w:tblGrid>
      <w:tr w:rsidR="00A02FAE">
        <w:trPr>
          <w:trHeight w:val="286"/>
        </w:trPr>
        <w:tc>
          <w:tcPr>
            <w:tcW w:w="5107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A02FAE" w:rsidRDefault="00AA57A8">
            <w:pPr>
              <w:widowControl/>
              <w:adjustRightInd w:val="0"/>
              <w:jc w:val="left"/>
              <w:textAlignment w:val="bottom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kern w:val="0"/>
                <w:sz w:val="22"/>
                <w:lang w:bidi="ar"/>
              </w:rPr>
              <w:t>Variable</w:t>
            </w:r>
          </w:p>
        </w:tc>
        <w:tc>
          <w:tcPr>
            <w:tcW w:w="1397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A02FAE" w:rsidRDefault="00AA57A8">
            <w:pPr>
              <w:widowControl/>
              <w:adjustRightInd w:val="0"/>
              <w:jc w:val="center"/>
              <w:textAlignment w:val="bottom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kern w:val="0"/>
                <w:sz w:val="22"/>
                <w:lang w:bidi="ar"/>
              </w:rPr>
              <w:t>Hazard ratio</w:t>
            </w:r>
          </w:p>
        </w:tc>
        <w:tc>
          <w:tcPr>
            <w:tcW w:w="852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A02FAE" w:rsidRDefault="00AA57A8">
            <w:pPr>
              <w:widowControl/>
              <w:adjustRightInd w:val="0"/>
              <w:jc w:val="center"/>
              <w:textAlignment w:val="bottom"/>
              <w:rPr>
                <w:b/>
                <w:i/>
                <w:color w:val="000000"/>
                <w:sz w:val="22"/>
              </w:rPr>
            </w:pPr>
            <w:r>
              <w:rPr>
                <w:rFonts w:hint="eastAsia"/>
                <w:b/>
                <w:i/>
                <w:color w:val="000000"/>
                <w:sz w:val="22"/>
              </w:rPr>
              <w:t>p</w:t>
            </w:r>
          </w:p>
        </w:tc>
        <w:tc>
          <w:tcPr>
            <w:tcW w:w="980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A02FAE" w:rsidRDefault="00AA57A8">
            <w:pPr>
              <w:widowControl/>
              <w:adjustRightInd w:val="0"/>
              <w:jc w:val="center"/>
              <w:textAlignment w:val="bottom"/>
              <w:rPr>
                <w:b/>
                <w:i/>
                <w:color w:val="000000"/>
                <w:sz w:val="22"/>
              </w:rPr>
            </w:pPr>
            <w:r>
              <w:rPr>
                <w:b/>
                <w:color w:val="000000"/>
                <w:kern w:val="0"/>
                <w:sz w:val="22"/>
                <w:lang w:bidi="ar"/>
              </w:rPr>
              <w:t>95% CI</w:t>
            </w:r>
          </w:p>
        </w:tc>
      </w:tr>
      <w:tr w:rsidR="00A02FAE">
        <w:trPr>
          <w:trHeight w:val="286"/>
        </w:trPr>
        <w:tc>
          <w:tcPr>
            <w:tcW w:w="5107" w:type="dxa"/>
            <w:tcBorders>
              <w:top w:val="single" w:sz="12" w:space="0" w:color="auto"/>
            </w:tcBorders>
            <w:vAlign w:val="bottom"/>
          </w:tcPr>
          <w:p w:rsidR="00A02FAE" w:rsidRDefault="00AA57A8">
            <w:pPr>
              <w:widowControl/>
              <w:jc w:val="left"/>
              <w:textAlignment w:val="bottom"/>
              <w:rPr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Histological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 xml:space="preserve"> classification by the signature</w:t>
            </w:r>
          </w:p>
          <w:p w:rsidR="00A02FAE" w:rsidRDefault="00AA57A8">
            <w:pPr>
              <w:widowControl/>
              <w:jc w:val="left"/>
              <w:textAlignment w:val="bottom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(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reclassified as SCC</w:t>
            </w:r>
            <w:r>
              <w:rPr>
                <w:color w:val="000000"/>
                <w:kern w:val="0"/>
                <w:sz w:val="22"/>
                <w:lang w:bidi="ar"/>
              </w:rPr>
              <w:t xml:space="preserve"> vs. signature-confirmed ADC)</w:t>
            </w:r>
          </w:p>
        </w:tc>
        <w:tc>
          <w:tcPr>
            <w:tcW w:w="1397" w:type="dxa"/>
            <w:tcBorders>
              <w:top w:val="single" w:sz="12" w:space="0" w:color="auto"/>
            </w:tcBorders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72</w:t>
            </w:r>
          </w:p>
        </w:tc>
        <w:tc>
          <w:tcPr>
            <w:tcW w:w="852" w:type="dxa"/>
            <w:tcBorders>
              <w:top w:val="single" w:sz="12" w:space="0" w:color="auto"/>
            </w:tcBorders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0.0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458</w:t>
            </w:r>
          </w:p>
        </w:tc>
        <w:tc>
          <w:tcPr>
            <w:tcW w:w="980" w:type="dxa"/>
            <w:tcBorders>
              <w:top w:val="single" w:sz="12" w:space="0" w:color="auto"/>
            </w:tcBorders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1.01</w:t>
            </w:r>
            <w:r>
              <w:rPr>
                <w:color w:val="000000"/>
                <w:kern w:val="0"/>
                <w:sz w:val="22"/>
                <w:lang w:bidi="ar"/>
              </w:rPr>
              <w:t>-2.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93</w:t>
            </w:r>
          </w:p>
        </w:tc>
      </w:tr>
      <w:tr w:rsidR="00A02FAE">
        <w:trPr>
          <w:trHeight w:val="286"/>
        </w:trPr>
        <w:tc>
          <w:tcPr>
            <w:tcW w:w="5107" w:type="dxa"/>
            <w:vAlign w:val="bottom"/>
          </w:tcPr>
          <w:p w:rsidR="00A02FAE" w:rsidRDefault="00AA57A8">
            <w:pPr>
              <w:widowControl/>
              <w:jc w:val="left"/>
              <w:textAlignment w:val="bottom"/>
              <w:rPr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Data centers</w:t>
            </w:r>
          </w:p>
        </w:tc>
        <w:tc>
          <w:tcPr>
            <w:tcW w:w="1397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1.0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852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0887</w:t>
            </w:r>
          </w:p>
        </w:tc>
        <w:tc>
          <w:tcPr>
            <w:tcW w:w="980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0.9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9</w:t>
            </w:r>
            <w:r>
              <w:rPr>
                <w:color w:val="000000"/>
                <w:kern w:val="0"/>
                <w:sz w:val="22"/>
                <w:lang w:bidi="ar"/>
              </w:rPr>
              <w:t>-1.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</w:tr>
      <w:tr w:rsidR="00A02FAE">
        <w:trPr>
          <w:trHeight w:val="286"/>
        </w:trPr>
        <w:tc>
          <w:tcPr>
            <w:tcW w:w="5107" w:type="dxa"/>
            <w:vAlign w:val="bottom"/>
          </w:tcPr>
          <w:p w:rsidR="00A02FAE" w:rsidRDefault="00AA57A8">
            <w:pPr>
              <w:widowControl/>
              <w:jc w:val="left"/>
              <w:textAlignment w:val="bottom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Stage (III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 xml:space="preserve"> vs. II vs. </w:t>
            </w:r>
            <w:r>
              <w:rPr>
                <w:color w:val="000000"/>
                <w:kern w:val="0"/>
                <w:sz w:val="22"/>
                <w:lang w:bidi="ar"/>
              </w:rPr>
              <w:t>I)</w:t>
            </w:r>
          </w:p>
        </w:tc>
        <w:tc>
          <w:tcPr>
            <w:tcW w:w="1397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2.32</w:t>
            </w:r>
          </w:p>
        </w:tc>
        <w:tc>
          <w:tcPr>
            <w:tcW w:w="852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&lt;0.0001</w:t>
            </w:r>
          </w:p>
        </w:tc>
        <w:tc>
          <w:tcPr>
            <w:tcW w:w="980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95</w:t>
            </w:r>
            <w:r>
              <w:rPr>
                <w:color w:val="000000"/>
                <w:kern w:val="0"/>
                <w:sz w:val="22"/>
                <w:lang w:bidi="ar"/>
              </w:rPr>
              <w:t>-2.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76</w:t>
            </w:r>
          </w:p>
        </w:tc>
      </w:tr>
      <w:tr w:rsidR="00A02FAE">
        <w:trPr>
          <w:trHeight w:val="286"/>
        </w:trPr>
        <w:tc>
          <w:tcPr>
            <w:tcW w:w="5107" w:type="dxa"/>
            <w:vAlign w:val="bottom"/>
          </w:tcPr>
          <w:p w:rsidR="00A02FAE" w:rsidRDefault="00AA57A8">
            <w:pPr>
              <w:widowControl/>
              <w:jc w:val="left"/>
              <w:textAlignment w:val="bottom"/>
              <w:rPr>
                <w:color w:val="000000"/>
                <w:kern w:val="0"/>
                <w:sz w:val="22"/>
                <w:lang w:bidi="ar"/>
              </w:rPr>
            </w:pPr>
            <w:r>
              <w:rPr>
                <w:bCs/>
                <w:kern w:val="0"/>
                <w:sz w:val="22"/>
              </w:rPr>
              <w:t>Age (&gt;65 vs.</w:t>
            </w:r>
            <w:r>
              <w:rPr>
                <w:rFonts w:hint="eastAsia"/>
                <w:bCs/>
                <w:kern w:val="0"/>
                <w:sz w:val="22"/>
              </w:rPr>
              <w:t xml:space="preserve"> </w:t>
            </w:r>
            <w:r>
              <w:rPr>
                <w:kern w:val="0"/>
                <w:sz w:val="22"/>
              </w:rPr>
              <w:t>≤</w:t>
            </w:r>
            <w:r>
              <w:rPr>
                <w:bCs/>
                <w:kern w:val="0"/>
                <w:sz w:val="22"/>
              </w:rPr>
              <w:t>65)</w:t>
            </w:r>
          </w:p>
        </w:tc>
        <w:tc>
          <w:tcPr>
            <w:tcW w:w="1397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1.56</w:t>
            </w:r>
          </w:p>
        </w:tc>
        <w:tc>
          <w:tcPr>
            <w:tcW w:w="852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0.0009</w:t>
            </w:r>
          </w:p>
        </w:tc>
        <w:tc>
          <w:tcPr>
            <w:tcW w:w="980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20</w:t>
            </w:r>
            <w:r>
              <w:rPr>
                <w:color w:val="000000"/>
                <w:kern w:val="0"/>
                <w:sz w:val="22"/>
                <w:lang w:bidi="ar"/>
              </w:rPr>
              <w:t>-2.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04</w:t>
            </w:r>
          </w:p>
        </w:tc>
      </w:tr>
      <w:tr w:rsidR="00A02FAE">
        <w:trPr>
          <w:trHeight w:val="362"/>
        </w:trPr>
        <w:tc>
          <w:tcPr>
            <w:tcW w:w="5107" w:type="dxa"/>
            <w:tcBorders>
              <w:bottom w:val="single" w:sz="12" w:space="0" w:color="auto"/>
            </w:tcBorders>
            <w:vAlign w:val="bottom"/>
          </w:tcPr>
          <w:p w:rsidR="00A02FAE" w:rsidRDefault="00AA57A8">
            <w:pPr>
              <w:widowControl/>
              <w:jc w:val="left"/>
              <w:textAlignment w:val="bottom"/>
              <w:rPr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Gender ( Male vs. Female)</w:t>
            </w:r>
          </w:p>
        </w:tc>
        <w:tc>
          <w:tcPr>
            <w:tcW w:w="1397" w:type="dxa"/>
            <w:tcBorders>
              <w:bottom w:val="single" w:sz="12" w:space="0" w:color="auto"/>
            </w:tcBorders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852" w:type="dxa"/>
            <w:tcBorders>
              <w:bottom w:val="single" w:sz="12" w:space="0" w:color="auto"/>
            </w:tcBorders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0.00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980" w:type="dxa"/>
            <w:tcBorders>
              <w:bottom w:val="single" w:sz="12" w:space="0" w:color="auto"/>
            </w:tcBorders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1.1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8</w:t>
            </w:r>
            <w:r>
              <w:rPr>
                <w:color w:val="000000"/>
                <w:kern w:val="0"/>
                <w:sz w:val="22"/>
                <w:lang w:bidi="ar"/>
              </w:rPr>
              <w:t>-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2.01</w:t>
            </w:r>
          </w:p>
        </w:tc>
      </w:tr>
    </w:tbl>
    <w:p w:rsidR="00A02FAE" w:rsidRDefault="00AA57A8" w:rsidP="006276EA">
      <w:pPr>
        <w:spacing w:line="480" w:lineRule="auto"/>
        <w:rPr>
          <w:color w:val="000000"/>
          <w:kern w:val="0"/>
          <w:sz w:val="22"/>
        </w:rPr>
      </w:pPr>
      <w:r>
        <w:rPr>
          <w:color w:val="000000"/>
          <w:kern w:val="0"/>
          <w:sz w:val="22"/>
        </w:rPr>
        <w:t>CI=confidence interval</w:t>
      </w:r>
      <w:r>
        <w:rPr>
          <w:rFonts w:hint="eastAsia"/>
          <w:color w:val="000000"/>
          <w:kern w:val="0"/>
          <w:sz w:val="22"/>
        </w:rPr>
        <w:t>.</w:t>
      </w:r>
      <w:r>
        <w:rPr>
          <w:rFonts w:hint="eastAsia"/>
          <w:color w:val="000000"/>
          <w:kern w:val="0"/>
          <w:sz w:val="22"/>
        </w:rPr>
        <w:br/>
      </w:r>
    </w:p>
    <w:p w:rsidR="00A02FAE" w:rsidRDefault="00A02FAE" w:rsidP="006276EA">
      <w:pPr>
        <w:spacing w:line="480" w:lineRule="auto"/>
        <w:rPr>
          <w:b/>
          <w:color w:val="000000"/>
          <w:kern w:val="0"/>
          <w:sz w:val="22"/>
          <w:lang w:bidi="ar"/>
        </w:rPr>
      </w:pPr>
    </w:p>
    <w:p w:rsidR="00A02FAE" w:rsidRDefault="00A02FAE" w:rsidP="006276EA">
      <w:pPr>
        <w:spacing w:line="480" w:lineRule="auto"/>
        <w:rPr>
          <w:b/>
          <w:color w:val="000000"/>
          <w:kern w:val="0"/>
          <w:sz w:val="22"/>
          <w:lang w:bidi="ar"/>
        </w:rPr>
      </w:pPr>
    </w:p>
    <w:p w:rsidR="00A02FAE" w:rsidRDefault="00AA57A8" w:rsidP="006276EA">
      <w:pPr>
        <w:spacing w:line="480" w:lineRule="auto"/>
        <w:rPr>
          <w:b/>
          <w:color w:val="000000"/>
          <w:kern w:val="0"/>
          <w:sz w:val="22"/>
          <w:lang w:bidi="ar"/>
        </w:rPr>
      </w:pPr>
      <w:r>
        <w:rPr>
          <w:b/>
          <w:color w:val="000000"/>
          <w:kern w:val="0"/>
          <w:sz w:val="22"/>
          <w:lang w:bidi="ar"/>
        </w:rPr>
        <w:t>Supplementary Table 5. Multivariate Cox regression analysis for the histological classification by the signature in the integrated dataset</w:t>
      </w:r>
      <w:r>
        <w:rPr>
          <w:rFonts w:hint="eastAsia"/>
          <w:b/>
          <w:color w:val="000000"/>
          <w:kern w:val="0"/>
          <w:sz w:val="22"/>
          <w:lang w:bidi="ar"/>
        </w:rPr>
        <w:t xml:space="preserve"> </w:t>
      </w:r>
    </w:p>
    <w:tbl>
      <w:tblPr>
        <w:tblpPr w:leftFromText="180" w:rightFromText="180" w:vertAnchor="text" w:horzAnchor="page" w:tblpX="1885" w:tblpY="250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373"/>
        <w:gridCol w:w="1282"/>
        <w:gridCol w:w="782"/>
        <w:gridCol w:w="899"/>
      </w:tblGrid>
      <w:tr w:rsidR="00A02FAE">
        <w:trPr>
          <w:trHeight w:val="286"/>
        </w:trPr>
        <w:tc>
          <w:tcPr>
            <w:tcW w:w="5373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A02FAE" w:rsidRDefault="00AA57A8">
            <w:pPr>
              <w:widowControl/>
              <w:jc w:val="left"/>
              <w:textAlignment w:val="bottom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kern w:val="0"/>
                <w:sz w:val="22"/>
                <w:lang w:bidi="ar"/>
              </w:rPr>
              <w:t>Variable</w:t>
            </w:r>
          </w:p>
        </w:tc>
        <w:tc>
          <w:tcPr>
            <w:tcW w:w="1282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A02FAE" w:rsidRDefault="00AA57A8">
            <w:pPr>
              <w:widowControl/>
              <w:jc w:val="center"/>
              <w:textAlignment w:val="bottom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kern w:val="0"/>
                <w:sz w:val="22"/>
                <w:lang w:bidi="ar"/>
              </w:rPr>
              <w:t>Hazard ratio</w:t>
            </w:r>
          </w:p>
        </w:tc>
        <w:tc>
          <w:tcPr>
            <w:tcW w:w="782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A02FAE" w:rsidRDefault="00AA57A8">
            <w:pPr>
              <w:widowControl/>
              <w:jc w:val="center"/>
              <w:textAlignment w:val="bottom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P</w:t>
            </w:r>
          </w:p>
        </w:tc>
        <w:tc>
          <w:tcPr>
            <w:tcW w:w="89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A02FAE" w:rsidRDefault="00AA57A8">
            <w:pPr>
              <w:widowControl/>
              <w:jc w:val="center"/>
              <w:textAlignment w:val="bottom"/>
              <w:rPr>
                <w:b/>
                <w:i/>
                <w:color w:val="000000"/>
                <w:sz w:val="22"/>
              </w:rPr>
            </w:pPr>
            <w:r>
              <w:rPr>
                <w:b/>
                <w:color w:val="000000"/>
                <w:kern w:val="0"/>
                <w:sz w:val="22"/>
                <w:lang w:bidi="ar"/>
              </w:rPr>
              <w:t>95% CI</w:t>
            </w:r>
          </w:p>
        </w:tc>
      </w:tr>
      <w:tr w:rsidR="00A02FAE">
        <w:trPr>
          <w:trHeight w:val="291"/>
        </w:trPr>
        <w:tc>
          <w:tcPr>
            <w:tcW w:w="5373" w:type="dxa"/>
            <w:tcBorders>
              <w:top w:val="single" w:sz="12" w:space="0" w:color="auto"/>
              <w:bottom w:val="nil"/>
            </w:tcBorders>
            <w:vAlign w:val="bottom"/>
          </w:tcPr>
          <w:p w:rsidR="00A02FAE" w:rsidRDefault="00AA57A8">
            <w:pPr>
              <w:jc w:val="left"/>
              <w:textAlignment w:val="bottom"/>
              <w:rPr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Histological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 xml:space="preserve"> classification by the signature </w:t>
            </w:r>
            <w:r>
              <w:rPr>
                <w:color w:val="000000"/>
                <w:kern w:val="0"/>
                <w:sz w:val="22"/>
                <w:lang w:bidi="ar"/>
              </w:rPr>
              <w:t>(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SCC</w:t>
            </w:r>
            <w:r>
              <w:rPr>
                <w:color w:val="000000"/>
                <w:kern w:val="0"/>
                <w:sz w:val="22"/>
                <w:lang w:bidi="ar"/>
              </w:rPr>
              <w:t xml:space="preserve"> vs. ADC)</w:t>
            </w:r>
          </w:p>
        </w:tc>
        <w:tc>
          <w:tcPr>
            <w:tcW w:w="1282" w:type="dxa"/>
            <w:tcBorders>
              <w:top w:val="single" w:sz="12" w:space="0" w:color="auto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1.5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782" w:type="dxa"/>
            <w:tcBorders>
              <w:top w:val="single" w:sz="12" w:space="0" w:color="auto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0.00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899" w:type="dxa"/>
            <w:tcBorders>
              <w:top w:val="single" w:sz="12" w:space="0" w:color="auto"/>
              <w:bottom w:val="nil"/>
            </w:tcBorders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1.1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8</w:t>
            </w:r>
            <w:r>
              <w:rPr>
                <w:color w:val="000000"/>
                <w:kern w:val="0"/>
                <w:sz w:val="22"/>
                <w:lang w:bidi="ar"/>
              </w:rPr>
              <w:t>-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2.06</w:t>
            </w:r>
          </w:p>
        </w:tc>
      </w:tr>
      <w:tr w:rsidR="00A02FAE">
        <w:trPr>
          <w:trHeight w:val="286"/>
        </w:trPr>
        <w:tc>
          <w:tcPr>
            <w:tcW w:w="5373" w:type="dxa"/>
            <w:vAlign w:val="bottom"/>
          </w:tcPr>
          <w:p w:rsidR="00A02FAE" w:rsidRDefault="00AA57A8">
            <w:pPr>
              <w:widowControl/>
              <w:jc w:val="left"/>
              <w:textAlignment w:val="bottom"/>
              <w:rPr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Data centers</w:t>
            </w:r>
          </w:p>
        </w:tc>
        <w:tc>
          <w:tcPr>
            <w:tcW w:w="1282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1.03</w:t>
            </w:r>
          </w:p>
        </w:tc>
        <w:tc>
          <w:tcPr>
            <w:tcW w:w="782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2515</w:t>
            </w:r>
          </w:p>
        </w:tc>
        <w:tc>
          <w:tcPr>
            <w:tcW w:w="899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lang w:bidi="ar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0.9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8</w:t>
            </w:r>
            <w:r>
              <w:rPr>
                <w:color w:val="000000"/>
                <w:kern w:val="0"/>
                <w:sz w:val="22"/>
                <w:lang w:bidi="ar"/>
              </w:rPr>
              <w:t>-1.0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</w:tr>
      <w:tr w:rsidR="00A02FAE">
        <w:trPr>
          <w:trHeight w:val="286"/>
        </w:trPr>
        <w:tc>
          <w:tcPr>
            <w:tcW w:w="5373" w:type="dxa"/>
            <w:vAlign w:val="bottom"/>
          </w:tcPr>
          <w:p w:rsidR="00A02FAE" w:rsidRDefault="00AA57A8">
            <w:pPr>
              <w:widowControl/>
              <w:jc w:val="left"/>
              <w:textAlignment w:val="bottom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Stage (III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 xml:space="preserve"> vs. II vs. </w:t>
            </w:r>
            <w:r>
              <w:rPr>
                <w:color w:val="000000"/>
                <w:kern w:val="0"/>
                <w:sz w:val="22"/>
                <w:lang w:bidi="ar"/>
              </w:rPr>
              <w:t>I)</w:t>
            </w:r>
          </w:p>
        </w:tc>
        <w:tc>
          <w:tcPr>
            <w:tcW w:w="1282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2.07</w:t>
            </w:r>
          </w:p>
        </w:tc>
        <w:tc>
          <w:tcPr>
            <w:tcW w:w="782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&lt;</w:t>
            </w:r>
            <w:r>
              <w:rPr>
                <w:color w:val="000000"/>
                <w:kern w:val="0"/>
                <w:sz w:val="22"/>
                <w:lang w:bidi="ar"/>
              </w:rPr>
              <w:t>0.0001</w:t>
            </w:r>
          </w:p>
        </w:tc>
        <w:tc>
          <w:tcPr>
            <w:tcW w:w="899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77</w:t>
            </w:r>
            <w:r>
              <w:rPr>
                <w:color w:val="000000"/>
                <w:kern w:val="0"/>
                <w:sz w:val="22"/>
                <w:lang w:bidi="ar"/>
              </w:rPr>
              <w:t>-2.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color w:val="000000"/>
                <w:kern w:val="0"/>
                <w:sz w:val="22"/>
                <w:lang w:bidi="ar"/>
              </w:rPr>
              <w:t>2</w:t>
            </w:r>
          </w:p>
        </w:tc>
      </w:tr>
      <w:tr w:rsidR="00A02FAE">
        <w:trPr>
          <w:trHeight w:val="286"/>
        </w:trPr>
        <w:tc>
          <w:tcPr>
            <w:tcW w:w="5373" w:type="dxa"/>
            <w:vAlign w:val="bottom"/>
          </w:tcPr>
          <w:p w:rsidR="00A02FAE" w:rsidRDefault="00AA57A8">
            <w:pPr>
              <w:widowControl/>
              <w:jc w:val="left"/>
              <w:textAlignment w:val="bottom"/>
              <w:rPr>
                <w:b/>
                <w:color w:val="000000"/>
                <w:sz w:val="22"/>
              </w:rPr>
            </w:pPr>
            <w:r>
              <w:rPr>
                <w:rStyle w:val="font21"/>
                <w:b w:val="0"/>
                <w:sz w:val="22"/>
                <w:szCs w:val="22"/>
                <w:lang w:bidi="ar"/>
              </w:rPr>
              <w:t>Age (&gt;65 vs.</w:t>
            </w:r>
            <w:r>
              <w:rPr>
                <w:rStyle w:val="font21"/>
                <w:rFonts w:hint="eastAsia"/>
                <w:b w:val="0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31"/>
                <w:rFonts w:hint="default"/>
                <w:b/>
                <w:lang w:bidi="ar"/>
              </w:rPr>
              <w:t>≤</w:t>
            </w:r>
            <w:r>
              <w:rPr>
                <w:rStyle w:val="font21"/>
                <w:b w:val="0"/>
                <w:sz w:val="22"/>
                <w:szCs w:val="22"/>
                <w:lang w:bidi="ar"/>
              </w:rPr>
              <w:t>65)</w:t>
            </w:r>
          </w:p>
        </w:tc>
        <w:tc>
          <w:tcPr>
            <w:tcW w:w="1282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782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0.000</w:t>
            </w: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899" w:type="dxa"/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22</w:t>
            </w:r>
            <w:r>
              <w:rPr>
                <w:color w:val="000000"/>
                <w:kern w:val="0"/>
                <w:sz w:val="22"/>
                <w:lang w:bidi="ar"/>
              </w:rPr>
              <w:t>-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1.94</w:t>
            </w:r>
          </w:p>
        </w:tc>
      </w:tr>
      <w:tr w:rsidR="00A02FAE">
        <w:trPr>
          <w:trHeight w:val="362"/>
        </w:trPr>
        <w:tc>
          <w:tcPr>
            <w:tcW w:w="5373" w:type="dxa"/>
            <w:tcBorders>
              <w:bottom w:val="single" w:sz="12" w:space="0" w:color="auto"/>
            </w:tcBorders>
            <w:vAlign w:val="bottom"/>
          </w:tcPr>
          <w:p w:rsidR="00A02FAE" w:rsidRDefault="00AA57A8">
            <w:pPr>
              <w:widowControl/>
              <w:jc w:val="left"/>
              <w:textAlignment w:val="bottom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Gender ( Male vs. Female)</w:t>
            </w:r>
          </w:p>
        </w:tc>
        <w:tc>
          <w:tcPr>
            <w:tcW w:w="1282" w:type="dxa"/>
            <w:tcBorders>
              <w:bottom w:val="single" w:sz="12" w:space="0" w:color="auto"/>
            </w:tcBorders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782" w:type="dxa"/>
            <w:tcBorders>
              <w:bottom w:val="single" w:sz="12" w:space="0" w:color="auto"/>
            </w:tcBorders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0.0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030</w:t>
            </w:r>
          </w:p>
        </w:tc>
        <w:tc>
          <w:tcPr>
            <w:tcW w:w="899" w:type="dxa"/>
            <w:tcBorders>
              <w:bottom w:val="single" w:sz="12" w:space="0" w:color="auto"/>
            </w:tcBorders>
            <w:vAlign w:val="center"/>
          </w:tcPr>
          <w:p w:rsidR="00A02FAE" w:rsidRDefault="00AA57A8">
            <w:pPr>
              <w:widowControl/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12</w:t>
            </w:r>
            <w:r>
              <w:rPr>
                <w:color w:val="000000"/>
                <w:kern w:val="0"/>
                <w:sz w:val="22"/>
                <w:lang w:bidi="ar"/>
              </w:rPr>
              <w:t>-1.</w:t>
            </w:r>
            <w:r>
              <w:rPr>
                <w:rFonts w:hint="eastAsia"/>
                <w:color w:val="000000"/>
                <w:kern w:val="0"/>
                <w:sz w:val="22"/>
                <w:lang w:bidi="ar"/>
              </w:rPr>
              <w:t>78</w:t>
            </w:r>
          </w:p>
        </w:tc>
      </w:tr>
    </w:tbl>
    <w:p w:rsidR="00A02FAE" w:rsidRDefault="00AA57A8" w:rsidP="006276EA">
      <w:pPr>
        <w:spacing w:line="480" w:lineRule="auto"/>
        <w:rPr>
          <w:color w:val="000000"/>
          <w:kern w:val="0"/>
          <w:sz w:val="22"/>
          <w:lang w:bidi="ar"/>
        </w:rPr>
      </w:pPr>
      <w:r>
        <w:rPr>
          <w:color w:val="000000"/>
          <w:kern w:val="0"/>
          <w:sz w:val="22"/>
          <w:lang w:bidi="ar"/>
        </w:rPr>
        <w:t>CI=confidence interval.</w:t>
      </w:r>
    </w:p>
    <w:p w:rsidR="00A02FAE" w:rsidRDefault="00A02FAE" w:rsidP="006276EA">
      <w:pPr>
        <w:spacing w:line="480" w:lineRule="auto"/>
        <w:rPr>
          <w:b/>
          <w:color w:val="000000"/>
          <w:kern w:val="0"/>
          <w:sz w:val="22"/>
          <w:lang w:bidi="ar"/>
        </w:rPr>
      </w:pPr>
    </w:p>
    <w:p w:rsidR="00A02FAE" w:rsidRDefault="00A02FAE" w:rsidP="006276EA">
      <w:pPr>
        <w:spacing w:line="480" w:lineRule="auto"/>
        <w:rPr>
          <w:b/>
          <w:color w:val="000000"/>
          <w:kern w:val="0"/>
          <w:sz w:val="22"/>
          <w:lang w:bidi="ar"/>
        </w:rPr>
      </w:pPr>
    </w:p>
    <w:p w:rsidR="00A02FAE" w:rsidRDefault="00A02FAE" w:rsidP="006276EA">
      <w:pPr>
        <w:spacing w:line="480" w:lineRule="auto"/>
        <w:rPr>
          <w:b/>
          <w:color w:val="000000"/>
          <w:kern w:val="0"/>
          <w:sz w:val="22"/>
          <w:lang w:bidi="ar"/>
        </w:rPr>
      </w:pPr>
    </w:p>
    <w:p w:rsidR="00A02FAE" w:rsidRDefault="00A02FAE" w:rsidP="006276EA">
      <w:pPr>
        <w:spacing w:line="480" w:lineRule="auto"/>
        <w:rPr>
          <w:b/>
          <w:color w:val="000000"/>
          <w:kern w:val="0"/>
          <w:sz w:val="22"/>
          <w:lang w:bidi="ar"/>
        </w:rPr>
      </w:pPr>
    </w:p>
    <w:p w:rsidR="00A02FAE" w:rsidRDefault="00A02FAE">
      <w:pPr>
        <w:rPr>
          <w:b/>
          <w:color w:val="000000"/>
          <w:kern w:val="0"/>
          <w:sz w:val="22"/>
          <w:lang w:bidi="ar"/>
        </w:rPr>
      </w:pPr>
    </w:p>
    <w:p w:rsidR="00A02FAE" w:rsidRDefault="006276EA">
      <w:pPr>
        <w:rPr>
          <w:b/>
          <w:color w:val="0000FF"/>
          <w:kern w:val="0"/>
          <w:sz w:val="22"/>
          <w:lang w:bidi="ar"/>
        </w:rPr>
      </w:pPr>
      <w:r>
        <w:rPr>
          <w:b/>
          <w:noProof/>
          <w:color w:val="0000FF"/>
          <w:kern w:val="0"/>
          <w:sz w:val="22"/>
        </w:rPr>
        <w:drawing>
          <wp:inline distT="0" distB="0" distL="0" distR="0">
            <wp:extent cx="5274310" cy="286448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FAE" w:rsidRDefault="00AA57A8" w:rsidP="006276EA">
      <w:pPr>
        <w:spacing w:line="480" w:lineRule="auto"/>
        <w:rPr>
          <w:bCs/>
          <w:sz w:val="22"/>
        </w:rPr>
      </w:pPr>
      <w:r>
        <w:rPr>
          <w:rFonts w:hint="eastAsia"/>
          <w:b/>
          <w:kern w:val="0"/>
          <w:sz w:val="22"/>
          <w:lang w:bidi="ar"/>
        </w:rPr>
        <w:t>Figure S1.</w:t>
      </w:r>
      <w:r>
        <w:rPr>
          <w:rFonts w:hint="eastAsia"/>
          <w:b/>
          <w:sz w:val="22"/>
        </w:rPr>
        <w:t xml:space="preserve"> </w:t>
      </w:r>
      <w:bookmarkStart w:id="1" w:name="OLE_LINK86"/>
      <w:r>
        <w:rPr>
          <w:b/>
          <w:sz w:val="22"/>
        </w:rPr>
        <w:t xml:space="preserve">The consensus clustering of the </w:t>
      </w:r>
      <w:r>
        <w:rPr>
          <w:rFonts w:hint="eastAsia"/>
          <w:b/>
          <w:sz w:val="22"/>
        </w:rPr>
        <w:t>samples in the GSE50081 dataset</w:t>
      </w:r>
      <w:bookmarkEnd w:id="1"/>
      <w:r>
        <w:rPr>
          <w:b/>
          <w:sz w:val="22"/>
        </w:rPr>
        <w:t>.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Cs/>
          <w:sz w:val="22"/>
        </w:rPr>
        <w:t xml:space="preserve">(A) Consensus </w:t>
      </w:r>
      <w:bookmarkStart w:id="2" w:name="OLE_LINK1"/>
      <w:r>
        <w:rPr>
          <w:rFonts w:hint="eastAsia"/>
          <w:bCs/>
          <w:sz w:val="22"/>
        </w:rPr>
        <w:t>clustering</w:t>
      </w:r>
      <w:bookmarkEnd w:id="2"/>
      <w:r>
        <w:rPr>
          <w:rFonts w:hint="eastAsia"/>
          <w:bCs/>
          <w:sz w:val="22"/>
        </w:rPr>
        <w:t xml:space="preserve"> heatmap of the 170 samples based on </w:t>
      </w:r>
      <w:r>
        <w:rPr>
          <w:bCs/>
          <w:sz w:val="22"/>
        </w:rPr>
        <w:t>the</w:t>
      </w:r>
      <w:r>
        <w:rPr>
          <w:rFonts w:hint="eastAsia"/>
          <w:bCs/>
          <w:sz w:val="22"/>
        </w:rPr>
        <w:t xml:space="preserve"> </w:t>
      </w:r>
      <w:r>
        <w:rPr>
          <w:bCs/>
          <w:sz w:val="22"/>
        </w:rPr>
        <w:t>top 1000 most variable gen</w:t>
      </w:r>
      <w:r>
        <w:rPr>
          <w:rFonts w:hint="eastAsia"/>
          <w:bCs/>
          <w:sz w:val="22"/>
        </w:rPr>
        <w:t xml:space="preserve">es. (B) Heat map of samples ordered with the clustering result based on the </w:t>
      </w:r>
      <w:r>
        <w:rPr>
          <w:bCs/>
          <w:sz w:val="22"/>
        </w:rPr>
        <w:t>top 1000 most variable gen</w:t>
      </w:r>
      <w:r>
        <w:rPr>
          <w:rFonts w:hint="eastAsia"/>
          <w:bCs/>
          <w:sz w:val="22"/>
        </w:rPr>
        <w:t xml:space="preserve">es. The </w:t>
      </w:r>
      <w:r>
        <w:rPr>
          <w:bCs/>
          <w:sz w:val="22"/>
        </w:rPr>
        <w:t>1000 most variable gen</w:t>
      </w:r>
      <w:r>
        <w:rPr>
          <w:rFonts w:hint="eastAsia"/>
          <w:bCs/>
          <w:sz w:val="22"/>
        </w:rPr>
        <w:t xml:space="preserve">es are ordered by hierarchical clustering to demonstrate their association with each cluster. The pSCC and </w:t>
      </w:r>
      <w:r>
        <w:rPr>
          <w:bCs/>
          <w:sz w:val="22"/>
        </w:rPr>
        <w:t>p</w:t>
      </w:r>
      <w:r>
        <w:rPr>
          <w:rFonts w:hint="eastAsia"/>
          <w:bCs/>
          <w:sz w:val="22"/>
        </w:rPr>
        <w:t xml:space="preserve">ADC represent </w:t>
      </w:r>
      <w:r>
        <w:rPr>
          <w:bCs/>
          <w:sz w:val="22"/>
        </w:rPr>
        <w:t>pathologically-</w:t>
      </w:r>
      <w:r>
        <w:rPr>
          <w:rFonts w:hint="eastAsia"/>
          <w:bCs/>
          <w:sz w:val="22"/>
        </w:rPr>
        <w:t>determined</w:t>
      </w:r>
      <w:r>
        <w:rPr>
          <w:bCs/>
          <w:sz w:val="22"/>
        </w:rPr>
        <w:t xml:space="preserve"> </w:t>
      </w:r>
      <w:r>
        <w:rPr>
          <w:rFonts w:hint="eastAsia"/>
          <w:bCs/>
          <w:sz w:val="22"/>
        </w:rPr>
        <w:t xml:space="preserve">SCC and </w:t>
      </w:r>
      <w:r>
        <w:rPr>
          <w:bCs/>
          <w:sz w:val="22"/>
        </w:rPr>
        <w:t>pathologically-</w:t>
      </w:r>
      <w:r>
        <w:rPr>
          <w:rFonts w:hint="eastAsia"/>
          <w:bCs/>
          <w:sz w:val="22"/>
        </w:rPr>
        <w:t xml:space="preserve">determined ADC, respectively. Cluster 1 and Cluster 2 include the most of signature-confirmed pADC samples and the most of signature-confirmed pSCC samples, which are denoted as ADC-like group and SCC-like group, respectively. The results showed that </w:t>
      </w:r>
      <w:r>
        <w:rPr>
          <w:bCs/>
          <w:sz w:val="22"/>
        </w:rPr>
        <w:t>5 of the 6 pSCC samples reclassified as ADC were clustered with the signature-confirmed ADC samples and 10 of the 15 pADC samples reclassified as SCC were clustered with the signature-confirmed SCC samples</w:t>
      </w:r>
      <w:r>
        <w:rPr>
          <w:rFonts w:hint="eastAsia"/>
          <w:bCs/>
          <w:sz w:val="22"/>
        </w:rPr>
        <w:t>.</w:t>
      </w:r>
    </w:p>
    <w:p w:rsidR="00A02FAE" w:rsidRDefault="00A02FAE" w:rsidP="006276EA">
      <w:pPr>
        <w:spacing w:line="480" w:lineRule="auto"/>
        <w:rPr>
          <w:bCs/>
          <w:color w:val="0000FF"/>
          <w:sz w:val="22"/>
        </w:rPr>
      </w:pPr>
    </w:p>
    <w:p w:rsidR="00A02FAE" w:rsidRDefault="00A02FAE" w:rsidP="006276EA">
      <w:pPr>
        <w:spacing w:line="480" w:lineRule="auto"/>
        <w:rPr>
          <w:bCs/>
          <w:color w:val="0000FF"/>
          <w:sz w:val="22"/>
        </w:rPr>
      </w:pPr>
    </w:p>
    <w:p w:rsidR="006276EA" w:rsidRDefault="006276EA" w:rsidP="006276EA">
      <w:pPr>
        <w:spacing w:line="480" w:lineRule="auto"/>
        <w:rPr>
          <w:bCs/>
          <w:color w:val="0000FF"/>
          <w:sz w:val="22"/>
        </w:rPr>
      </w:pPr>
    </w:p>
    <w:p w:rsidR="00A02FAE" w:rsidRDefault="006276EA">
      <w:pPr>
        <w:rPr>
          <w:bCs/>
          <w:color w:val="0000FF"/>
          <w:sz w:val="22"/>
        </w:rPr>
      </w:pPr>
      <w:r>
        <w:rPr>
          <w:bCs/>
          <w:noProof/>
          <w:color w:val="0000FF"/>
          <w:sz w:val="22"/>
        </w:rPr>
        <w:lastRenderedPageBreak/>
        <w:drawing>
          <wp:inline distT="0" distB="0" distL="0" distR="0">
            <wp:extent cx="5274310" cy="289115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FAE" w:rsidRDefault="00AA57A8" w:rsidP="006276EA">
      <w:pPr>
        <w:spacing w:line="480" w:lineRule="auto"/>
        <w:rPr>
          <w:bCs/>
          <w:sz w:val="22"/>
        </w:rPr>
      </w:pPr>
      <w:r>
        <w:rPr>
          <w:rFonts w:hint="eastAsia"/>
          <w:b/>
          <w:kern w:val="0"/>
          <w:sz w:val="22"/>
          <w:lang w:bidi="ar"/>
        </w:rPr>
        <w:t>Figure S2.</w:t>
      </w:r>
      <w:r>
        <w:rPr>
          <w:rFonts w:hint="eastAsia"/>
          <w:b/>
          <w:sz w:val="22"/>
        </w:rPr>
        <w:t xml:space="preserve"> </w:t>
      </w:r>
      <w:r>
        <w:rPr>
          <w:b/>
          <w:sz w:val="22"/>
        </w:rPr>
        <w:t xml:space="preserve">The consensus clustering of the </w:t>
      </w:r>
      <w:r>
        <w:rPr>
          <w:rFonts w:hint="eastAsia"/>
          <w:b/>
          <w:sz w:val="22"/>
        </w:rPr>
        <w:t xml:space="preserve">samples in the </w:t>
      </w:r>
      <w:r>
        <w:rPr>
          <w:b/>
          <w:sz w:val="22"/>
        </w:rPr>
        <w:t>GSE58661 dataset for small biopsy specimens</w:t>
      </w:r>
      <w:r>
        <w:rPr>
          <w:rFonts w:hint="eastAsia"/>
          <w:b/>
          <w:sz w:val="22"/>
        </w:rPr>
        <w:t xml:space="preserve">. </w:t>
      </w:r>
      <w:r>
        <w:rPr>
          <w:rFonts w:hint="eastAsia"/>
          <w:bCs/>
          <w:sz w:val="22"/>
        </w:rPr>
        <w:t xml:space="preserve">(A) Consensus clustering heatmap of the 78 samples based on </w:t>
      </w:r>
      <w:r>
        <w:rPr>
          <w:bCs/>
          <w:sz w:val="22"/>
        </w:rPr>
        <w:t>the</w:t>
      </w:r>
      <w:r>
        <w:rPr>
          <w:rFonts w:hint="eastAsia"/>
          <w:bCs/>
          <w:sz w:val="22"/>
        </w:rPr>
        <w:t xml:space="preserve"> </w:t>
      </w:r>
      <w:r>
        <w:rPr>
          <w:bCs/>
          <w:sz w:val="22"/>
        </w:rPr>
        <w:t>top 1000 most variable gen</w:t>
      </w:r>
      <w:r>
        <w:rPr>
          <w:rFonts w:hint="eastAsia"/>
          <w:bCs/>
          <w:sz w:val="22"/>
        </w:rPr>
        <w:t xml:space="preserve">es. (B) Heat map of samples ordered with the clustering result based on the </w:t>
      </w:r>
      <w:r>
        <w:rPr>
          <w:bCs/>
          <w:sz w:val="22"/>
        </w:rPr>
        <w:t>top 1000 most variable gen</w:t>
      </w:r>
      <w:r>
        <w:rPr>
          <w:rFonts w:hint="eastAsia"/>
          <w:bCs/>
          <w:sz w:val="22"/>
        </w:rPr>
        <w:t xml:space="preserve">es. The </w:t>
      </w:r>
      <w:r>
        <w:rPr>
          <w:bCs/>
          <w:sz w:val="22"/>
        </w:rPr>
        <w:t>1000 most variable gen</w:t>
      </w:r>
      <w:r>
        <w:rPr>
          <w:rFonts w:hint="eastAsia"/>
          <w:bCs/>
          <w:sz w:val="22"/>
        </w:rPr>
        <w:t xml:space="preserve">es are ordered by hierarchical clustering to demonstrate their association with each cluster. Cluster 1 and Cluster 2 include the most of signature-confirmed pADC samples and the most of signature-confirmed pSCC samples, which are denoted as ADC-like group and SCC-like group, respectively. The results showed that </w:t>
      </w:r>
      <w:r>
        <w:rPr>
          <w:bCs/>
          <w:sz w:val="24"/>
        </w:rPr>
        <w:t>all the 4 pSCC samples reclassified as ADC by the signature were clustered with the signature-confirmed ADC samples</w:t>
      </w:r>
      <w:r>
        <w:rPr>
          <w:rFonts w:hint="eastAsia"/>
          <w:bCs/>
          <w:sz w:val="22"/>
        </w:rPr>
        <w:t>.</w:t>
      </w:r>
    </w:p>
    <w:p w:rsidR="00A02FAE" w:rsidRDefault="00A02FAE" w:rsidP="006276EA">
      <w:pPr>
        <w:spacing w:line="480" w:lineRule="auto"/>
        <w:rPr>
          <w:bCs/>
          <w:color w:val="0000FF"/>
          <w:sz w:val="22"/>
        </w:rPr>
      </w:pPr>
    </w:p>
    <w:p w:rsidR="00A02FAE" w:rsidRDefault="00A02FAE" w:rsidP="006276EA">
      <w:pPr>
        <w:spacing w:line="480" w:lineRule="auto"/>
        <w:rPr>
          <w:bCs/>
          <w:color w:val="0000FF"/>
          <w:sz w:val="22"/>
        </w:rPr>
      </w:pPr>
    </w:p>
    <w:p w:rsidR="00A02FAE" w:rsidRDefault="00A02FAE" w:rsidP="006276EA">
      <w:pPr>
        <w:spacing w:line="480" w:lineRule="auto"/>
        <w:rPr>
          <w:bCs/>
          <w:color w:val="0000FF"/>
          <w:sz w:val="22"/>
        </w:rPr>
      </w:pPr>
    </w:p>
    <w:p w:rsidR="00A02FAE" w:rsidRDefault="00A02FAE" w:rsidP="006276EA">
      <w:pPr>
        <w:spacing w:line="480" w:lineRule="auto"/>
        <w:rPr>
          <w:bCs/>
          <w:color w:val="0000FF"/>
          <w:sz w:val="22"/>
        </w:rPr>
      </w:pPr>
    </w:p>
    <w:p w:rsidR="00A02FAE" w:rsidRDefault="00A02FAE" w:rsidP="006276EA">
      <w:pPr>
        <w:spacing w:line="480" w:lineRule="auto"/>
        <w:rPr>
          <w:bCs/>
          <w:color w:val="0000FF"/>
          <w:sz w:val="22"/>
        </w:rPr>
      </w:pPr>
    </w:p>
    <w:p w:rsidR="00DC19F3" w:rsidRDefault="00DC19F3" w:rsidP="006276EA">
      <w:pPr>
        <w:spacing w:line="480" w:lineRule="auto"/>
        <w:rPr>
          <w:bCs/>
          <w:color w:val="0000FF"/>
          <w:sz w:val="22"/>
        </w:rPr>
      </w:pPr>
    </w:p>
    <w:p w:rsidR="00A02FAE" w:rsidRDefault="00CC7853" w:rsidP="00CC7853">
      <w:pPr>
        <w:jc w:val="center"/>
        <w:rPr>
          <w:bCs/>
          <w:color w:val="0000FF"/>
          <w:sz w:val="22"/>
        </w:rPr>
      </w:pPr>
      <w:r>
        <w:rPr>
          <w:bCs/>
          <w:noProof/>
          <w:color w:val="0000FF"/>
          <w:sz w:val="22"/>
        </w:rPr>
        <w:lastRenderedPageBreak/>
        <w:drawing>
          <wp:inline distT="0" distB="0" distL="0" distR="0">
            <wp:extent cx="2316480" cy="2292096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6480" cy="2292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FAE" w:rsidRDefault="00AA57A8" w:rsidP="006276EA">
      <w:pPr>
        <w:spacing w:line="480" w:lineRule="auto"/>
        <w:rPr>
          <w:sz w:val="22"/>
        </w:rPr>
      </w:pPr>
      <w:r>
        <w:rPr>
          <w:b/>
          <w:sz w:val="22"/>
        </w:rPr>
        <w:t xml:space="preserve">Figure </w:t>
      </w:r>
      <w:r>
        <w:rPr>
          <w:rFonts w:hint="eastAsia"/>
          <w:b/>
          <w:sz w:val="22"/>
        </w:rPr>
        <w:t>S3</w:t>
      </w:r>
      <w:r>
        <w:rPr>
          <w:b/>
          <w:sz w:val="22"/>
        </w:rPr>
        <w:t>. The Kaplan-Meier curves of overall survival respectively for the ADC and SCC groups of patients treated with curative surgery resection only.</w:t>
      </w:r>
      <w:r>
        <w:rPr>
          <w:sz w:val="22"/>
        </w:rPr>
        <w:t xml:space="preserve"> The SCC patients classified by the </w:t>
      </w:r>
      <w:r>
        <w:rPr>
          <w:rFonts w:hint="eastAsia"/>
          <w:sz w:val="22"/>
        </w:rPr>
        <w:t>42-</w:t>
      </w:r>
      <w:r>
        <w:rPr>
          <w:sz w:val="22"/>
        </w:rPr>
        <w:t xml:space="preserve">signature had significantly </w:t>
      </w:r>
      <w:r>
        <w:rPr>
          <w:rFonts w:hint="eastAsia"/>
          <w:sz w:val="22"/>
        </w:rPr>
        <w:t>shorter</w:t>
      </w:r>
      <w:r>
        <w:rPr>
          <w:sz w:val="22"/>
        </w:rPr>
        <w:t xml:space="preserve"> OS than the ADC, which was </w:t>
      </w:r>
      <w:r>
        <w:rPr>
          <w:rFonts w:hint="eastAsia"/>
          <w:sz w:val="22"/>
        </w:rPr>
        <w:t>less</w:t>
      </w:r>
      <w:r>
        <w:rPr>
          <w:sz w:val="22"/>
        </w:rPr>
        <w:t xml:space="preserve"> significant than the OS difference between the</w:t>
      </w:r>
      <w:r>
        <w:rPr>
          <w:rFonts w:hint="eastAsia"/>
          <w:sz w:val="22"/>
        </w:rPr>
        <w:t xml:space="preserve"> two</w:t>
      </w:r>
      <w:r>
        <w:rPr>
          <w:sz w:val="22"/>
        </w:rPr>
        <w:t xml:space="preserve"> groups </w:t>
      </w:r>
      <w:r>
        <w:rPr>
          <w:rFonts w:hint="eastAsia"/>
          <w:sz w:val="22"/>
        </w:rPr>
        <w:t>classified</w:t>
      </w:r>
      <w:r>
        <w:rPr>
          <w:sz w:val="22"/>
        </w:rPr>
        <w:t xml:space="preserve"> by </w:t>
      </w:r>
      <w:r>
        <w:rPr>
          <w:rFonts w:hint="eastAsia"/>
          <w:sz w:val="22"/>
        </w:rPr>
        <w:t>our signature.</w:t>
      </w:r>
      <w:r>
        <w:rPr>
          <w:sz w:val="22"/>
        </w:rPr>
        <w:t xml:space="preserve"> </w:t>
      </w:r>
    </w:p>
    <w:p w:rsidR="00AA57A8" w:rsidRDefault="00AA57A8" w:rsidP="006276EA">
      <w:pPr>
        <w:spacing w:line="480" w:lineRule="auto"/>
        <w:rPr>
          <w:b/>
          <w:szCs w:val="21"/>
        </w:rPr>
      </w:pPr>
    </w:p>
    <w:sectPr w:rsidR="00AA57A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175A" w:rsidRDefault="0001175A" w:rsidP="00852CFE">
      <w:r>
        <w:separator/>
      </w:r>
    </w:p>
  </w:endnote>
  <w:endnote w:type="continuationSeparator" w:id="0">
    <w:p w:rsidR="0001175A" w:rsidRDefault="0001175A" w:rsidP="00852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175A" w:rsidRDefault="0001175A" w:rsidP="00852CFE">
      <w:r>
        <w:separator/>
      </w:r>
    </w:p>
  </w:footnote>
  <w:footnote w:type="continuationSeparator" w:id="0">
    <w:p w:rsidR="0001175A" w:rsidRDefault="0001175A" w:rsidP="00852C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F55"/>
    <w:rsid w:val="00007F55"/>
    <w:rsid w:val="0001175A"/>
    <w:rsid w:val="00106C03"/>
    <w:rsid w:val="001146ED"/>
    <w:rsid w:val="001357AD"/>
    <w:rsid w:val="001539DE"/>
    <w:rsid w:val="001971A3"/>
    <w:rsid w:val="00200475"/>
    <w:rsid w:val="00224797"/>
    <w:rsid w:val="002F33FB"/>
    <w:rsid w:val="00312F9D"/>
    <w:rsid w:val="003A3FD9"/>
    <w:rsid w:val="003F07B5"/>
    <w:rsid w:val="0057728F"/>
    <w:rsid w:val="00590D8C"/>
    <w:rsid w:val="005F4E4C"/>
    <w:rsid w:val="006276EA"/>
    <w:rsid w:val="00657905"/>
    <w:rsid w:val="006D0901"/>
    <w:rsid w:val="007F01AA"/>
    <w:rsid w:val="00852CFE"/>
    <w:rsid w:val="0086035F"/>
    <w:rsid w:val="008A5268"/>
    <w:rsid w:val="00906312"/>
    <w:rsid w:val="00926927"/>
    <w:rsid w:val="0093504F"/>
    <w:rsid w:val="00A02FAE"/>
    <w:rsid w:val="00AA57A8"/>
    <w:rsid w:val="00AB71FC"/>
    <w:rsid w:val="00B0087A"/>
    <w:rsid w:val="00B80542"/>
    <w:rsid w:val="00B80C78"/>
    <w:rsid w:val="00B92CE0"/>
    <w:rsid w:val="00BB6D5E"/>
    <w:rsid w:val="00CB4576"/>
    <w:rsid w:val="00CC7853"/>
    <w:rsid w:val="00CF1E34"/>
    <w:rsid w:val="00CF5AA8"/>
    <w:rsid w:val="00D0673E"/>
    <w:rsid w:val="00D07446"/>
    <w:rsid w:val="00D13540"/>
    <w:rsid w:val="00D27F4B"/>
    <w:rsid w:val="00DC1976"/>
    <w:rsid w:val="00DC19F3"/>
    <w:rsid w:val="00DC426C"/>
    <w:rsid w:val="00DD5417"/>
    <w:rsid w:val="00E02641"/>
    <w:rsid w:val="00E027C1"/>
    <w:rsid w:val="00E57F90"/>
    <w:rsid w:val="00E97ADE"/>
    <w:rsid w:val="00EB2A93"/>
    <w:rsid w:val="00F92CEF"/>
    <w:rsid w:val="0A573571"/>
    <w:rsid w:val="0F0678FA"/>
    <w:rsid w:val="15BF5651"/>
    <w:rsid w:val="1A7F7708"/>
    <w:rsid w:val="21CA3020"/>
    <w:rsid w:val="24ED5B21"/>
    <w:rsid w:val="27A230C0"/>
    <w:rsid w:val="2899126D"/>
    <w:rsid w:val="303E435E"/>
    <w:rsid w:val="30AE598D"/>
    <w:rsid w:val="3823170E"/>
    <w:rsid w:val="3AB850B9"/>
    <w:rsid w:val="407F6D07"/>
    <w:rsid w:val="4C7A2337"/>
    <w:rsid w:val="507710AE"/>
    <w:rsid w:val="57244FAE"/>
    <w:rsid w:val="596B4791"/>
    <w:rsid w:val="651F3DAF"/>
    <w:rsid w:val="6574314E"/>
    <w:rsid w:val="65E358DD"/>
    <w:rsid w:val="683666AC"/>
    <w:rsid w:val="6AD2547D"/>
    <w:rsid w:val="722D6FA4"/>
    <w:rsid w:val="75B27ACB"/>
    <w:rsid w:val="786340F5"/>
    <w:rsid w:val="78A65B7F"/>
    <w:rsid w:val="7BAC4D4B"/>
    <w:rsid w:val="7F892E59"/>
    <w:rsid w:val="7FF50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ADAA2C-D29D-404B-8D3A-2819295BB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Pr>
      <w:kern w:val="2"/>
      <w:sz w:val="18"/>
      <w:szCs w:val="18"/>
    </w:rPr>
  </w:style>
  <w:style w:type="character" w:customStyle="1" w:styleId="font21">
    <w:name w:val="font21"/>
    <w:qFormat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18"/>
      <w:szCs w:val="18"/>
      <w:u w:val="none"/>
    </w:rPr>
  </w:style>
  <w:style w:type="character" w:customStyle="1" w:styleId="font11">
    <w:name w:val="font11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18"/>
      <w:szCs w:val="18"/>
      <w:u w:val="none"/>
    </w:rPr>
  </w:style>
  <w:style w:type="character" w:customStyle="1" w:styleId="Char0">
    <w:name w:val="批注框文本 Char"/>
    <w:link w:val="a4"/>
    <w:uiPriority w:val="99"/>
    <w:semiHidden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rPr>
      <w:kern w:val="2"/>
      <w:sz w:val="18"/>
      <w:szCs w:val="18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7</Pages>
  <Words>992</Words>
  <Characters>5658</Characters>
  <Application>Microsoft Office Word</Application>
  <DocSecurity>0</DocSecurity>
  <Lines>47</Lines>
  <Paragraphs>13</Paragraphs>
  <ScaleCrop>false</ScaleCrop>
  <Company/>
  <LinksUpToDate>false</LinksUpToDate>
  <CharactersWithSpaces>6637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shigengen</dc:creator>
  <cp:keywords/>
  <dc:description/>
  <cp:lastModifiedBy>dreamsummit</cp:lastModifiedBy>
  <cp:revision>12</cp:revision>
  <dcterms:created xsi:type="dcterms:W3CDTF">2019-05-01T04:32:00Z</dcterms:created>
  <dcterms:modified xsi:type="dcterms:W3CDTF">2019-05-02T08:56:00Z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