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684C" w14:textId="77777777" w:rsidR="000E032B" w:rsidRDefault="000E032B" w:rsidP="000E032B">
      <w:pPr>
        <w:spacing w:line="480" w:lineRule="auto"/>
        <w:jc w:val="both"/>
        <w:rPr>
          <w:rFonts w:cstheme="minorHAnsi"/>
          <w:b/>
          <w:sz w:val="24"/>
          <w:szCs w:val="24"/>
        </w:rPr>
      </w:pPr>
      <w:r w:rsidRPr="0066579D">
        <w:rPr>
          <w:rFonts w:cstheme="minorHAnsi"/>
          <w:b/>
          <w:sz w:val="24"/>
          <w:szCs w:val="24"/>
        </w:rPr>
        <w:t>Supplementary figure legends</w:t>
      </w:r>
    </w:p>
    <w:p w14:paraId="6CB96518" w14:textId="618C844D" w:rsidR="00157FC3" w:rsidRPr="001146ED" w:rsidRDefault="00055819" w:rsidP="00055819">
      <w:pPr>
        <w:spacing w:line="480" w:lineRule="auto"/>
        <w:jc w:val="both"/>
        <w:rPr>
          <w:b/>
          <w:sz w:val="24"/>
          <w:szCs w:val="24"/>
        </w:rPr>
      </w:pPr>
      <w:r w:rsidRPr="001146ED">
        <w:rPr>
          <w:b/>
          <w:sz w:val="24"/>
          <w:szCs w:val="24"/>
        </w:rPr>
        <w:t xml:space="preserve">Figure S1. </w:t>
      </w:r>
      <w:r w:rsidR="002E70DB" w:rsidRPr="001146ED">
        <w:rPr>
          <w:b/>
          <w:sz w:val="24"/>
          <w:szCs w:val="24"/>
        </w:rPr>
        <w:t>Identification</w:t>
      </w:r>
      <w:r w:rsidRPr="001146ED">
        <w:rPr>
          <w:b/>
          <w:sz w:val="24"/>
          <w:szCs w:val="24"/>
        </w:rPr>
        <w:t xml:space="preserve"> of meningeal </w:t>
      </w:r>
      <w:proofErr w:type="spellStart"/>
      <w:r w:rsidRPr="001146ED">
        <w:rPr>
          <w:b/>
          <w:sz w:val="24"/>
          <w:szCs w:val="24"/>
        </w:rPr>
        <w:t>Treg</w:t>
      </w:r>
      <w:proofErr w:type="spellEnd"/>
      <w:r w:rsidR="001146ED">
        <w:rPr>
          <w:b/>
          <w:sz w:val="24"/>
          <w:szCs w:val="24"/>
        </w:rPr>
        <w:t xml:space="preserve">. </w:t>
      </w:r>
      <w:r w:rsidR="00157FC3" w:rsidRPr="001146ED">
        <w:rPr>
          <w:sz w:val="24"/>
          <w:szCs w:val="24"/>
        </w:rPr>
        <w:t>Representative flow cytometry gating strategy for the identification of meningeal Tregs. Meningeal cells were gated sequentially on live CD45⁺ cells, then CD4⁺ T cells, and Tregs were identified as CD25⁺Foxp3⁺ cells. Representative plots from Ctrl</w:t>
      </w:r>
      <w:r w:rsidR="001146ED" w:rsidRPr="001146ED">
        <w:rPr>
          <w:sz w:val="24"/>
          <w:szCs w:val="24"/>
          <w:vertAlign w:val="subscript"/>
        </w:rPr>
        <w:t>F1</w:t>
      </w:r>
      <w:r w:rsidR="00157FC3" w:rsidRPr="001146ED">
        <w:rPr>
          <w:sz w:val="24"/>
          <w:szCs w:val="24"/>
        </w:rPr>
        <w:t xml:space="preserve"> mice are shown.</w:t>
      </w:r>
    </w:p>
    <w:p w14:paraId="51B65DE0" w14:textId="327F575D" w:rsidR="00055819" w:rsidRPr="007745DC" w:rsidRDefault="007745DC" w:rsidP="000E032B">
      <w:pPr>
        <w:spacing w:line="480" w:lineRule="auto"/>
        <w:jc w:val="both"/>
        <w:rPr>
          <w:sz w:val="24"/>
          <w:szCs w:val="24"/>
        </w:rPr>
      </w:pPr>
      <w:r w:rsidRPr="0066579D">
        <w:rPr>
          <w:b/>
          <w:bCs/>
          <w:sz w:val="24"/>
          <w:szCs w:val="24"/>
        </w:rPr>
        <w:t>Figure S2: Maternal immune activation during pregnancy induces methylomic changes in offspring Tregs.</w:t>
      </w:r>
      <w:r w:rsidRPr="0066579D">
        <w:rPr>
          <w:sz w:val="24"/>
          <w:szCs w:val="24"/>
        </w:rPr>
        <w:t xml:space="preserve"> Methylomic analysis of splenic Tregs from Ctrl</w:t>
      </w:r>
      <w:r w:rsidRPr="002E70DB">
        <w:rPr>
          <w:sz w:val="24"/>
          <w:szCs w:val="24"/>
          <w:vertAlign w:val="subscript"/>
        </w:rPr>
        <w:t>F1</w:t>
      </w:r>
      <w:r w:rsidRPr="0066579D">
        <w:rPr>
          <w:sz w:val="24"/>
          <w:szCs w:val="24"/>
        </w:rPr>
        <w:t xml:space="preserve"> or MIA</w:t>
      </w:r>
      <w:r w:rsidRPr="002E70DB">
        <w:rPr>
          <w:sz w:val="24"/>
          <w:szCs w:val="24"/>
          <w:vertAlign w:val="subscript"/>
        </w:rPr>
        <w:t>F1</w:t>
      </w:r>
      <w:r w:rsidR="002E70DB">
        <w:rPr>
          <w:sz w:val="24"/>
          <w:szCs w:val="24"/>
        </w:rPr>
        <w:t xml:space="preserve">. </w:t>
      </w:r>
      <w:r w:rsidR="002E70DB" w:rsidRPr="0066579D">
        <w:rPr>
          <w:sz w:val="24"/>
          <w:szCs w:val="24"/>
        </w:rPr>
        <w:t xml:space="preserve">(A) </w:t>
      </w:r>
      <w:r w:rsidR="00157FC3">
        <w:rPr>
          <w:sz w:val="24"/>
          <w:szCs w:val="24"/>
        </w:rPr>
        <w:t>V</w:t>
      </w:r>
      <w:r w:rsidRPr="0066579D">
        <w:rPr>
          <w:sz w:val="24"/>
          <w:szCs w:val="24"/>
        </w:rPr>
        <w:t>olcano plot of differentially methylated region</w:t>
      </w:r>
      <w:r w:rsidR="002E70DB">
        <w:rPr>
          <w:sz w:val="24"/>
          <w:szCs w:val="24"/>
        </w:rPr>
        <w:t>;</w:t>
      </w:r>
      <w:r w:rsidRPr="007745DC">
        <w:rPr>
          <w:sz w:val="24"/>
          <w:szCs w:val="24"/>
        </w:rPr>
        <w:t xml:space="preserve"> (B) </w:t>
      </w:r>
      <w:r w:rsidR="00157FC3">
        <w:rPr>
          <w:sz w:val="24"/>
          <w:szCs w:val="24"/>
        </w:rPr>
        <w:t>H</w:t>
      </w:r>
      <w:r w:rsidRPr="007745DC">
        <w:rPr>
          <w:sz w:val="24"/>
          <w:szCs w:val="24"/>
        </w:rPr>
        <w:t>eatmap of differentially methylated regions and (C) principal component analysis. Red indicates hypermethylated regions; green indicates hypomethylated regions compared to Ctrl</w:t>
      </w:r>
      <w:r w:rsidRPr="00BF4C5D">
        <w:rPr>
          <w:sz w:val="24"/>
          <w:szCs w:val="24"/>
          <w:vertAlign w:val="subscript"/>
        </w:rPr>
        <w:t>F1</w:t>
      </w:r>
      <w:r w:rsidRPr="007745DC">
        <w:rPr>
          <w:sz w:val="24"/>
          <w:szCs w:val="24"/>
        </w:rPr>
        <w:t>.</w:t>
      </w:r>
      <w:r w:rsidR="00157FC3">
        <w:rPr>
          <w:sz w:val="24"/>
          <w:szCs w:val="24"/>
        </w:rPr>
        <w:t xml:space="preserve"> </w:t>
      </w:r>
      <w:r w:rsidR="00157FC3" w:rsidRPr="001146ED">
        <w:rPr>
          <w:i/>
          <w:iCs/>
          <w:sz w:val="24"/>
          <w:szCs w:val="24"/>
        </w:rPr>
        <w:t xml:space="preserve">(n = </w:t>
      </w:r>
      <w:r w:rsidR="001146ED" w:rsidRPr="001146ED">
        <w:rPr>
          <w:i/>
          <w:iCs/>
          <w:sz w:val="24"/>
          <w:szCs w:val="24"/>
        </w:rPr>
        <w:t>4</w:t>
      </w:r>
      <w:r w:rsidR="00157FC3" w:rsidRPr="001146ED">
        <w:rPr>
          <w:i/>
          <w:iCs/>
          <w:sz w:val="24"/>
          <w:szCs w:val="24"/>
        </w:rPr>
        <w:t xml:space="preserve"> per group)</w:t>
      </w:r>
    </w:p>
    <w:p w14:paraId="5C3C37BC" w14:textId="167CDD74" w:rsidR="000260B0" w:rsidRDefault="000260B0" w:rsidP="000260B0">
      <w:pPr>
        <w:spacing w:line="480" w:lineRule="auto"/>
        <w:jc w:val="both"/>
        <w:rPr>
          <w:bCs/>
          <w:sz w:val="24"/>
          <w:szCs w:val="24"/>
        </w:rPr>
      </w:pPr>
      <w:r w:rsidRPr="0066579D">
        <w:rPr>
          <w:b/>
          <w:sz w:val="24"/>
          <w:szCs w:val="24"/>
        </w:rPr>
        <w:t>Figure S</w:t>
      </w:r>
      <w:r>
        <w:rPr>
          <w:b/>
          <w:sz w:val="24"/>
          <w:szCs w:val="24"/>
        </w:rPr>
        <w:t>3</w:t>
      </w:r>
      <w:r w:rsidRPr="0066579D">
        <w:rPr>
          <w:b/>
          <w:sz w:val="24"/>
          <w:szCs w:val="24"/>
        </w:rPr>
        <w:t xml:space="preserve">: Quality control of meningeal CD45+ single-cell RNA sequencing. </w:t>
      </w:r>
      <w:r w:rsidRPr="0066579D">
        <w:rPr>
          <w:bCs/>
          <w:sz w:val="24"/>
          <w:szCs w:val="24"/>
        </w:rPr>
        <w:t xml:space="preserve">(A) Proportion of mitochondrial gene content per cell in different conditions. (B) Number of genes detected per cell within each condition. (C) Number of unique molecular identifiers (UMIs) per cell across conditions. (D) Scatter plot showing the correlation between mitochondrial gene content (%) and the number of UMIs per cell, with individual cells represented as dots and </w:t>
      </w:r>
      <w:r w:rsidR="002E70DB" w:rsidRPr="0066579D">
        <w:rPr>
          <w:bCs/>
          <w:sz w:val="24"/>
          <w:szCs w:val="24"/>
        </w:rPr>
        <w:t>color</w:t>
      </w:r>
      <w:r w:rsidR="00157FC3">
        <w:rPr>
          <w:bCs/>
          <w:sz w:val="24"/>
          <w:szCs w:val="24"/>
        </w:rPr>
        <w:t>-</w:t>
      </w:r>
      <w:r w:rsidRPr="0066579D">
        <w:rPr>
          <w:bCs/>
          <w:sz w:val="24"/>
          <w:szCs w:val="24"/>
        </w:rPr>
        <w:t xml:space="preserve">coded by condition. (E) Scatter plot showing the correlation between the number of genes detected per cell and the number of UMIs, with individual cells represented as points and </w:t>
      </w:r>
      <w:r w:rsidR="002E70DB" w:rsidRPr="0066579D">
        <w:rPr>
          <w:bCs/>
          <w:sz w:val="24"/>
          <w:szCs w:val="24"/>
        </w:rPr>
        <w:t>color</w:t>
      </w:r>
      <w:r w:rsidRPr="0066579D">
        <w:rPr>
          <w:bCs/>
          <w:sz w:val="24"/>
          <w:szCs w:val="24"/>
        </w:rPr>
        <w:t>-coded by condition.</w:t>
      </w:r>
    </w:p>
    <w:p w14:paraId="0D330D94" w14:textId="23B94004" w:rsidR="00DB2F2C" w:rsidRDefault="00DB2F2C" w:rsidP="00DB2F2C">
      <w:pPr>
        <w:spacing w:line="480" w:lineRule="auto"/>
        <w:jc w:val="both"/>
        <w:rPr>
          <w:sz w:val="24"/>
          <w:szCs w:val="24"/>
        </w:rPr>
      </w:pPr>
      <w:r w:rsidRPr="0066579D">
        <w:rPr>
          <w:b/>
          <w:sz w:val="24"/>
          <w:szCs w:val="24"/>
        </w:rPr>
        <w:t>Figure S</w:t>
      </w:r>
      <w:r>
        <w:rPr>
          <w:b/>
          <w:sz w:val="24"/>
          <w:szCs w:val="24"/>
        </w:rPr>
        <w:t>4</w:t>
      </w:r>
      <w:r w:rsidRPr="0066579D">
        <w:rPr>
          <w:b/>
          <w:sz w:val="24"/>
          <w:szCs w:val="24"/>
        </w:rPr>
        <w:t>: Maternal immune activation induces</w:t>
      </w:r>
      <w:r>
        <w:rPr>
          <w:b/>
          <w:sz w:val="24"/>
          <w:szCs w:val="24"/>
        </w:rPr>
        <w:t xml:space="preserve"> cerebral</w:t>
      </w:r>
      <w:r w:rsidRPr="0066579D">
        <w:rPr>
          <w:b/>
          <w:sz w:val="24"/>
          <w:szCs w:val="24"/>
        </w:rPr>
        <w:t xml:space="preserve"> volume dispersion </w:t>
      </w:r>
      <w:r w:rsidR="00157FC3">
        <w:rPr>
          <w:b/>
          <w:sz w:val="24"/>
          <w:szCs w:val="24"/>
        </w:rPr>
        <w:t>and is reversed by IL-2</w:t>
      </w:r>
      <w:r w:rsidR="00157FC3" w:rsidRPr="00157FC3">
        <w:rPr>
          <w:b/>
          <w:sz w:val="24"/>
          <w:szCs w:val="24"/>
          <w:vertAlign w:val="subscript"/>
        </w:rPr>
        <w:t>LD</w:t>
      </w:r>
      <w:r w:rsidR="00157FC3">
        <w:rPr>
          <w:b/>
          <w:sz w:val="24"/>
          <w:szCs w:val="24"/>
        </w:rPr>
        <w:t xml:space="preserve"> </w:t>
      </w:r>
      <w:r w:rsidRPr="0066579D">
        <w:rPr>
          <w:sz w:val="24"/>
          <w:szCs w:val="24"/>
        </w:rPr>
        <w:t xml:space="preserve">(A) Region of interest analysis pipeline. T2w-MRI was used to construct a study template (arrow 1, ANTs10). T2w-MRI and study template were skull stripped (arrows 2, SPM segment12). Individual MRIs are then registered to the study template (arrow 3, ANTs), which is registered to the AIDA (arrow 4, ANTs). Finally, the transformations are inverted and applied </w:t>
      </w:r>
      <w:r w:rsidRPr="0066579D">
        <w:rPr>
          <w:sz w:val="24"/>
          <w:szCs w:val="24"/>
        </w:rPr>
        <w:lastRenderedPageBreak/>
        <w:t>to the AIDA atlas to obtain the brain regions in the native space of each mouse. (B) Bar plot of the distribution of volume across conditions</w:t>
      </w:r>
      <w:r>
        <w:rPr>
          <w:sz w:val="24"/>
          <w:szCs w:val="24"/>
        </w:rPr>
        <w:t>.</w:t>
      </w:r>
      <w:r w:rsidRPr="0066579D">
        <w:rPr>
          <w:sz w:val="24"/>
          <w:szCs w:val="24"/>
        </w:rPr>
        <w:t xml:space="preserve"> ACA, anterior cingulate area; AI, agranular insula area; CM, claustrum; ECT, </w:t>
      </w:r>
      <w:proofErr w:type="spellStart"/>
      <w:r w:rsidRPr="0066579D">
        <w:rPr>
          <w:sz w:val="24"/>
          <w:szCs w:val="24"/>
        </w:rPr>
        <w:t>ectorhinal</w:t>
      </w:r>
      <w:proofErr w:type="spellEnd"/>
      <w:r w:rsidRPr="0066579D">
        <w:rPr>
          <w:sz w:val="24"/>
          <w:szCs w:val="24"/>
        </w:rPr>
        <w:t xml:space="preserve"> area; GU, gustatory area; HY, hypothalamus; PERI, perirhinal area; </w:t>
      </w:r>
      <w:proofErr w:type="spellStart"/>
      <w:r w:rsidRPr="0066579D">
        <w:rPr>
          <w:sz w:val="24"/>
          <w:szCs w:val="24"/>
        </w:rPr>
        <w:t>sAMY</w:t>
      </w:r>
      <w:proofErr w:type="spellEnd"/>
      <w:r w:rsidRPr="0066579D">
        <w:rPr>
          <w:sz w:val="24"/>
          <w:szCs w:val="24"/>
        </w:rPr>
        <w:t>, stria</w:t>
      </w:r>
      <w:r w:rsidR="00157FC3">
        <w:rPr>
          <w:sz w:val="24"/>
          <w:szCs w:val="24"/>
        </w:rPr>
        <w:t>t</w:t>
      </w:r>
      <w:r w:rsidRPr="0066579D">
        <w:rPr>
          <w:sz w:val="24"/>
          <w:szCs w:val="24"/>
        </w:rPr>
        <w:t xml:space="preserve">um-like </w:t>
      </w:r>
      <w:proofErr w:type="spellStart"/>
      <w:r w:rsidRPr="0066579D">
        <w:rPr>
          <w:sz w:val="24"/>
          <w:szCs w:val="24"/>
        </w:rPr>
        <w:t>amygdalar</w:t>
      </w:r>
      <w:proofErr w:type="spellEnd"/>
      <w:r w:rsidRPr="0066579D">
        <w:rPr>
          <w:sz w:val="24"/>
          <w:szCs w:val="24"/>
        </w:rPr>
        <w:t xml:space="preserve"> nuclei; </w:t>
      </w:r>
      <w:proofErr w:type="spellStart"/>
      <w:r w:rsidRPr="0066579D">
        <w:rPr>
          <w:sz w:val="24"/>
          <w:szCs w:val="24"/>
        </w:rPr>
        <w:t>STRd</w:t>
      </w:r>
      <w:proofErr w:type="spellEnd"/>
      <w:r w:rsidRPr="0066579D">
        <w:rPr>
          <w:sz w:val="24"/>
          <w:szCs w:val="24"/>
        </w:rPr>
        <w:t xml:space="preserve">, striatum dorsal area; VIS, visceral </w:t>
      </w:r>
      <w:r w:rsidRPr="001146ED">
        <w:rPr>
          <w:sz w:val="24"/>
          <w:szCs w:val="24"/>
        </w:rPr>
        <w:t xml:space="preserve">area. Statistical analysis, t-test. </w:t>
      </w:r>
      <w:r w:rsidR="00626302" w:rsidRPr="001146ED">
        <w:rPr>
          <w:sz w:val="24"/>
          <w:szCs w:val="24"/>
        </w:rPr>
        <w:t>*</w:t>
      </w:r>
      <w:r w:rsidRPr="001146ED">
        <w:rPr>
          <w:sz w:val="24"/>
          <w:szCs w:val="24"/>
        </w:rPr>
        <w:t>P &lt; 0.05, **P &lt; 0.01, ***P &lt; 0.001, ****P &lt; 0.0001. Results are expressed as mean +/- SEM.</w:t>
      </w:r>
    </w:p>
    <w:p w14:paraId="7A9C97EA" w14:textId="350FF878" w:rsidR="004E4667" w:rsidRPr="00C54B76" w:rsidRDefault="004E4667" w:rsidP="000260B0">
      <w:pPr>
        <w:spacing w:line="480" w:lineRule="auto"/>
        <w:jc w:val="both"/>
        <w:rPr>
          <w:bCs/>
          <w:sz w:val="24"/>
          <w:szCs w:val="24"/>
        </w:rPr>
      </w:pPr>
      <w:r w:rsidRPr="001146ED">
        <w:rPr>
          <w:b/>
          <w:sz w:val="24"/>
          <w:szCs w:val="24"/>
        </w:rPr>
        <w:t xml:space="preserve">Figure S5: Low-dose </w:t>
      </w:r>
      <w:r w:rsidR="00626302" w:rsidRPr="001146ED">
        <w:rPr>
          <w:b/>
          <w:sz w:val="24"/>
          <w:szCs w:val="24"/>
        </w:rPr>
        <w:t>IL-</w:t>
      </w:r>
      <w:r w:rsidRPr="001146ED">
        <w:rPr>
          <w:b/>
          <w:sz w:val="24"/>
          <w:szCs w:val="24"/>
        </w:rPr>
        <w:t xml:space="preserve">2 </w:t>
      </w:r>
      <w:r w:rsidR="00BF4C5D" w:rsidRPr="001146ED">
        <w:rPr>
          <w:b/>
          <w:sz w:val="24"/>
          <w:szCs w:val="24"/>
        </w:rPr>
        <w:t xml:space="preserve">and empty AAVs injection </w:t>
      </w:r>
      <w:r w:rsidRPr="001146ED">
        <w:rPr>
          <w:b/>
          <w:sz w:val="24"/>
          <w:szCs w:val="24"/>
        </w:rPr>
        <w:t xml:space="preserve">do not alter behavior in control mice. </w:t>
      </w:r>
      <w:r w:rsidRPr="001146ED">
        <w:rPr>
          <w:rFonts w:cstheme="minorHAnsi"/>
          <w:sz w:val="24"/>
          <w:szCs w:val="24"/>
          <w:lang w:val="en-GB"/>
        </w:rPr>
        <w:t>A)</w:t>
      </w:r>
      <w:r w:rsidRPr="00BF4C5D">
        <w:rPr>
          <w:rFonts w:cstheme="minorHAnsi"/>
          <w:sz w:val="24"/>
          <w:szCs w:val="24"/>
          <w:lang w:val="en-GB"/>
        </w:rPr>
        <w:t xml:space="preserve"> Percentage of buried</w:t>
      </w:r>
      <w:r w:rsidRPr="00D2742D">
        <w:rPr>
          <w:rFonts w:cstheme="minorHAnsi"/>
          <w:sz w:val="24"/>
          <w:szCs w:val="24"/>
          <w:lang w:val="en-GB"/>
        </w:rPr>
        <w:t xml:space="preserve"> marbles for Ctrl</w:t>
      </w:r>
      <w:r w:rsidR="006B5E5B" w:rsidRPr="006B5E5B">
        <w:rPr>
          <w:rFonts w:cstheme="minorHAnsi"/>
          <w:sz w:val="24"/>
          <w:szCs w:val="24"/>
          <w:vertAlign w:val="subscript"/>
          <w:lang w:val="en-GB"/>
        </w:rPr>
        <w:t xml:space="preserve"> </w:t>
      </w:r>
      <w:r w:rsidR="006B5E5B" w:rsidRPr="00D2742D">
        <w:rPr>
          <w:rFonts w:cstheme="minorHAnsi"/>
          <w:sz w:val="24"/>
          <w:szCs w:val="24"/>
          <w:vertAlign w:val="subscript"/>
          <w:lang w:val="en-GB"/>
        </w:rPr>
        <w:t>F1</w:t>
      </w:r>
      <w:r w:rsidRPr="00D2742D">
        <w:rPr>
          <w:rStyle w:val="lev"/>
          <w:rFonts w:cstheme="minorHAnsi"/>
          <w:sz w:val="24"/>
          <w:szCs w:val="24"/>
          <w:lang w:val="en-GB"/>
        </w:rPr>
        <w:t>-</w:t>
      </w:r>
      <w:r w:rsidRPr="00D2742D">
        <w:rPr>
          <w:rStyle w:val="lev"/>
          <w:rFonts w:cstheme="minorHAnsi"/>
          <w:b w:val="0"/>
          <w:sz w:val="24"/>
          <w:szCs w:val="24"/>
          <w:lang w:val="en-GB"/>
        </w:rPr>
        <w:t>AAV</w:t>
      </w:r>
      <w:r w:rsidRPr="00D2742D">
        <w:rPr>
          <w:rStyle w:val="lev"/>
          <w:rFonts w:cstheme="minorHAnsi"/>
          <w:b w:val="0"/>
          <w:sz w:val="24"/>
          <w:szCs w:val="24"/>
          <w:vertAlign w:val="subscript"/>
          <w:lang w:val="en-GB"/>
        </w:rPr>
        <w:t>E</w:t>
      </w:r>
      <w:r w:rsidRPr="00D2742D" w:rsidDel="00D27C3F">
        <w:rPr>
          <w:rFonts w:cstheme="minorHAnsi"/>
          <w:b/>
          <w:sz w:val="24"/>
          <w:szCs w:val="24"/>
          <w:vertAlign w:val="subscript"/>
          <w:lang w:val="en-GB"/>
        </w:rPr>
        <w:t xml:space="preserve"> </w:t>
      </w:r>
      <w:r w:rsidRPr="00D2742D">
        <w:rPr>
          <w:rFonts w:cstheme="minorHAnsi"/>
          <w:sz w:val="24"/>
          <w:szCs w:val="24"/>
          <w:lang w:val="en-GB"/>
        </w:rPr>
        <w:t>(n = 21, 4 experiments), Ctrl</w:t>
      </w:r>
      <w:r w:rsidRPr="00D2742D">
        <w:rPr>
          <w:rFonts w:cstheme="minorHAnsi"/>
          <w:sz w:val="24"/>
          <w:szCs w:val="24"/>
          <w:vertAlign w:val="subscript"/>
          <w:lang w:val="en-GB"/>
        </w:rPr>
        <w:t>F1</w:t>
      </w:r>
      <w:r w:rsidRPr="00D2742D">
        <w:rPr>
          <w:rFonts w:cstheme="minorHAnsi"/>
          <w:sz w:val="24"/>
          <w:szCs w:val="24"/>
          <w:lang w:val="en-GB"/>
        </w:rPr>
        <w:t>—</w:t>
      </w:r>
      <w:r w:rsidRPr="00D2742D">
        <w:rPr>
          <w:rStyle w:val="lev"/>
          <w:rFonts w:cstheme="minorHAnsi"/>
          <w:b w:val="0"/>
          <w:sz w:val="24"/>
          <w:szCs w:val="24"/>
          <w:lang w:val="en-GB"/>
        </w:rPr>
        <w:t>AAV</w:t>
      </w:r>
      <w:r w:rsidRPr="00D2742D">
        <w:rPr>
          <w:rStyle w:val="lev"/>
          <w:rFonts w:cstheme="minorHAnsi"/>
          <w:b w:val="0"/>
          <w:sz w:val="24"/>
          <w:szCs w:val="24"/>
          <w:vertAlign w:val="subscript"/>
          <w:lang w:val="en-GB"/>
        </w:rPr>
        <w:t>IL2</w:t>
      </w:r>
      <w:r w:rsidRPr="00D2742D">
        <w:rPr>
          <w:rFonts w:cstheme="minorHAnsi"/>
          <w:sz w:val="24"/>
          <w:szCs w:val="24"/>
          <w:lang w:val="en-GB"/>
        </w:rPr>
        <w:t xml:space="preserve"> (n = 15, 4 experiments) (B) Social preference index for Ctrl</w:t>
      </w:r>
      <w:r w:rsidR="006B5E5B" w:rsidRPr="006B5E5B">
        <w:rPr>
          <w:rFonts w:cstheme="minorHAnsi"/>
          <w:sz w:val="24"/>
          <w:szCs w:val="24"/>
          <w:vertAlign w:val="subscript"/>
          <w:lang w:val="en-GB"/>
        </w:rPr>
        <w:t xml:space="preserve"> </w:t>
      </w:r>
      <w:r w:rsidR="006B5E5B" w:rsidRPr="00D2742D">
        <w:rPr>
          <w:rFonts w:cstheme="minorHAnsi"/>
          <w:sz w:val="24"/>
          <w:szCs w:val="24"/>
          <w:vertAlign w:val="subscript"/>
          <w:lang w:val="en-GB"/>
        </w:rPr>
        <w:t>F1</w:t>
      </w:r>
      <w:r w:rsidRPr="00D2742D">
        <w:rPr>
          <w:rStyle w:val="lev"/>
          <w:rFonts w:cstheme="minorHAnsi"/>
          <w:sz w:val="24"/>
          <w:szCs w:val="24"/>
          <w:lang w:val="en-GB"/>
        </w:rPr>
        <w:t>-</w:t>
      </w:r>
      <w:r w:rsidRPr="00D2742D">
        <w:rPr>
          <w:rStyle w:val="lev"/>
          <w:rFonts w:cstheme="minorHAnsi"/>
          <w:b w:val="0"/>
          <w:sz w:val="24"/>
          <w:szCs w:val="24"/>
          <w:lang w:val="en-GB"/>
        </w:rPr>
        <w:t>AAV</w:t>
      </w:r>
      <w:r w:rsidRPr="00D2742D">
        <w:rPr>
          <w:rStyle w:val="lev"/>
          <w:rFonts w:cstheme="minorHAnsi"/>
          <w:b w:val="0"/>
          <w:sz w:val="24"/>
          <w:szCs w:val="24"/>
          <w:vertAlign w:val="subscript"/>
          <w:lang w:val="en-GB"/>
        </w:rPr>
        <w:t>E</w:t>
      </w:r>
      <w:r w:rsidRPr="00D2742D" w:rsidDel="00D27C3F">
        <w:rPr>
          <w:rFonts w:cstheme="minorHAnsi"/>
          <w:b/>
          <w:sz w:val="24"/>
          <w:szCs w:val="24"/>
          <w:vertAlign w:val="subscript"/>
          <w:lang w:val="en-GB"/>
        </w:rPr>
        <w:t xml:space="preserve"> </w:t>
      </w:r>
      <w:r w:rsidRPr="00D2742D">
        <w:rPr>
          <w:rFonts w:cstheme="minorHAnsi"/>
          <w:sz w:val="24"/>
          <w:szCs w:val="24"/>
          <w:lang w:val="en-GB"/>
        </w:rPr>
        <w:t>(n = 16, 4 experiments), Ctrl</w:t>
      </w:r>
      <w:r w:rsidRPr="00D2742D">
        <w:rPr>
          <w:rFonts w:cstheme="minorHAnsi"/>
          <w:sz w:val="24"/>
          <w:szCs w:val="24"/>
          <w:vertAlign w:val="subscript"/>
          <w:lang w:val="en-GB"/>
        </w:rPr>
        <w:t>F1</w:t>
      </w:r>
      <w:r w:rsidRPr="00D2742D">
        <w:rPr>
          <w:rFonts w:cstheme="minorHAnsi"/>
          <w:sz w:val="24"/>
          <w:szCs w:val="24"/>
          <w:lang w:val="en-GB"/>
        </w:rPr>
        <w:t>—</w:t>
      </w:r>
      <w:r w:rsidRPr="00D2742D">
        <w:rPr>
          <w:rStyle w:val="lev"/>
          <w:rFonts w:cstheme="minorHAnsi"/>
          <w:b w:val="0"/>
          <w:sz w:val="24"/>
          <w:szCs w:val="24"/>
          <w:lang w:val="en-GB"/>
        </w:rPr>
        <w:t>AAV</w:t>
      </w:r>
      <w:r w:rsidRPr="00D2742D">
        <w:rPr>
          <w:rStyle w:val="lev"/>
          <w:rFonts w:cstheme="minorHAnsi"/>
          <w:b w:val="0"/>
          <w:sz w:val="24"/>
          <w:szCs w:val="24"/>
          <w:vertAlign w:val="subscript"/>
          <w:lang w:val="en-GB"/>
        </w:rPr>
        <w:t>IL2</w:t>
      </w:r>
      <w:r w:rsidRPr="00D2742D" w:rsidDel="00D27C3F">
        <w:rPr>
          <w:rFonts w:cstheme="minorHAnsi"/>
          <w:b/>
          <w:sz w:val="24"/>
          <w:szCs w:val="24"/>
          <w:lang w:val="en-GB"/>
        </w:rPr>
        <w:t xml:space="preserve"> </w:t>
      </w:r>
      <w:r w:rsidRPr="00D2742D">
        <w:rPr>
          <w:rFonts w:cstheme="minorHAnsi"/>
          <w:sz w:val="24"/>
          <w:szCs w:val="24"/>
          <w:lang w:val="en-GB"/>
        </w:rPr>
        <w:t xml:space="preserve">(n = 15, 4 experiments). (C to E) Live mouse tracker </w:t>
      </w:r>
      <w:proofErr w:type="spellStart"/>
      <w:r w:rsidRPr="00D2742D">
        <w:rPr>
          <w:rFonts w:cstheme="minorHAnsi"/>
          <w:sz w:val="24"/>
          <w:szCs w:val="24"/>
          <w:lang w:val="en-GB"/>
        </w:rPr>
        <w:t>behavioral</w:t>
      </w:r>
      <w:proofErr w:type="spellEnd"/>
      <w:r w:rsidRPr="00D2742D">
        <w:rPr>
          <w:rFonts w:cstheme="minorHAnsi"/>
          <w:sz w:val="24"/>
          <w:szCs w:val="24"/>
          <w:lang w:val="en-GB"/>
        </w:rPr>
        <w:t xml:space="preserve"> profiles for Ctrl</w:t>
      </w:r>
      <w:r w:rsidRPr="00D2742D">
        <w:rPr>
          <w:rFonts w:cstheme="minorHAnsi"/>
          <w:sz w:val="24"/>
          <w:szCs w:val="24"/>
          <w:vertAlign w:val="subscript"/>
          <w:lang w:val="en-GB"/>
        </w:rPr>
        <w:t>F1</w:t>
      </w:r>
      <w:r w:rsidRPr="00D2742D">
        <w:rPr>
          <w:rFonts w:cstheme="minorHAnsi"/>
          <w:sz w:val="24"/>
          <w:szCs w:val="24"/>
          <w:lang w:val="en-GB"/>
        </w:rPr>
        <w:t>—</w:t>
      </w:r>
      <w:r w:rsidRPr="00D2742D">
        <w:rPr>
          <w:rStyle w:val="lev"/>
          <w:rFonts w:cstheme="minorHAnsi"/>
          <w:b w:val="0"/>
          <w:sz w:val="24"/>
          <w:szCs w:val="24"/>
          <w:lang w:val="en-GB"/>
        </w:rPr>
        <w:t>AAV</w:t>
      </w:r>
      <w:r w:rsidRPr="00D2742D">
        <w:rPr>
          <w:rStyle w:val="lev"/>
          <w:rFonts w:cstheme="minorHAnsi"/>
          <w:b w:val="0"/>
          <w:sz w:val="24"/>
          <w:szCs w:val="24"/>
          <w:vertAlign w:val="subscript"/>
          <w:lang w:val="en-GB"/>
        </w:rPr>
        <w:t>IL2</w:t>
      </w:r>
      <w:r w:rsidRPr="00D2742D" w:rsidDel="00D27C3F">
        <w:rPr>
          <w:rFonts w:cstheme="minorHAnsi"/>
          <w:sz w:val="24"/>
          <w:szCs w:val="24"/>
          <w:lang w:val="en-GB"/>
        </w:rPr>
        <w:t xml:space="preserve"> </w:t>
      </w:r>
      <w:r w:rsidRPr="00D2742D">
        <w:rPr>
          <w:rFonts w:cstheme="minorHAnsi"/>
          <w:sz w:val="24"/>
          <w:szCs w:val="24"/>
          <w:lang w:val="en-GB"/>
        </w:rPr>
        <w:t>(n = 12), normali</w:t>
      </w:r>
      <w:r w:rsidR="00157FC3">
        <w:rPr>
          <w:rFonts w:cstheme="minorHAnsi"/>
          <w:sz w:val="24"/>
          <w:szCs w:val="24"/>
          <w:lang w:val="en-GB"/>
        </w:rPr>
        <w:t>z</w:t>
      </w:r>
      <w:r w:rsidRPr="00D2742D">
        <w:rPr>
          <w:rFonts w:cstheme="minorHAnsi"/>
          <w:sz w:val="24"/>
          <w:szCs w:val="24"/>
          <w:lang w:val="en-GB"/>
        </w:rPr>
        <w:t xml:space="preserve">ed to </w:t>
      </w:r>
      <w:r w:rsidR="001146ED" w:rsidRPr="00D2742D">
        <w:rPr>
          <w:rFonts w:cstheme="minorHAnsi"/>
          <w:sz w:val="24"/>
          <w:szCs w:val="24"/>
          <w:lang w:val="en-GB"/>
        </w:rPr>
        <w:t>Ctrl</w:t>
      </w:r>
      <w:r w:rsidR="001146ED" w:rsidRPr="00D2742D">
        <w:rPr>
          <w:rFonts w:cstheme="minorHAnsi"/>
          <w:sz w:val="24"/>
          <w:szCs w:val="24"/>
          <w:vertAlign w:val="subscript"/>
          <w:lang w:val="en-GB"/>
        </w:rPr>
        <w:t>F1</w:t>
      </w:r>
      <w:r w:rsidR="001146ED" w:rsidRPr="00D2742D">
        <w:rPr>
          <w:rFonts w:cstheme="minorHAnsi"/>
          <w:sz w:val="24"/>
          <w:szCs w:val="24"/>
          <w:lang w:val="en-GB"/>
        </w:rPr>
        <w:t>—</w:t>
      </w:r>
      <w:proofErr w:type="spellStart"/>
      <w:r w:rsidR="001146ED" w:rsidRPr="00D2742D">
        <w:rPr>
          <w:rStyle w:val="lev"/>
          <w:rFonts w:cstheme="minorHAnsi"/>
          <w:b w:val="0"/>
          <w:sz w:val="24"/>
          <w:szCs w:val="24"/>
          <w:lang w:val="en-GB"/>
        </w:rPr>
        <w:t>AAV</w:t>
      </w:r>
      <w:r w:rsidR="001146ED">
        <w:rPr>
          <w:rStyle w:val="lev"/>
          <w:rFonts w:cstheme="minorHAnsi"/>
          <w:b w:val="0"/>
          <w:sz w:val="24"/>
          <w:szCs w:val="24"/>
          <w:vertAlign w:val="subscript"/>
          <w:lang w:val="en-GB"/>
        </w:rPr>
        <w:t>e</w:t>
      </w:r>
      <w:proofErr w:type="spellEnd"/>
      <w:r w:rsidR="001146ED">
        <w:rPr>
          <w:rStyle w:val="lev"/>
          <w:rFonts w:cstheme="minorHAnsi"/>
          <w:b w:val="0"/>
          <w:sz w:val="24"/>
          <w:szCs w:val="24"/>
          <w:vertAlign w:val="subscript"/>
          <w:lang w:val="en-GB"/>
        </w:rPr>
        <w:t xml:space="preserve"> </w:t>
      </w:r>
      <w:r w:rsidRPr="00D2742D">
        <w:rPr>
          <w:rFonts w:cstheme="minorHAnsi"/>
          <w:sz w:val="24"/>
          <w:szCs w:val="24"/>
          <w:lang w:val="en-GB"/>
        </w:rPr>
        <w:t>(n = 12 per condition) over 14 h of free interactions, showing position in contact (C), social configuration (D) and social approach (E).</w:t>
      </w:r>
      <w:r w:rsidRPr="00D2742D">
        <w:rPr>
          <w:sz w:val="24"/>
          <w:szCs w:val="24"/>
        </w:rPr>
        <w:t xml:space="preserve"> Statistical analysis, t-test. </w:t>
      </w:r>
      <w:r w:rsidR="00157FC3" w:rsidRPr="00D2742D">
        <w:rPr>
          <w:sz w:val="24"/>
          <w:szCs w:val="24"/>
        </w:rPr>
        <w:t>*</w:t>
      </w:r>
      <w:r w:rsidRPr="00D2742D">
        <w:rPr>
          <w:sz w:val="24"/>
          <w:szCs w:val="24"/>
        </w:rPr>
        <w:t xml:space="preserve">P &lt; 0.05, **P &lt; 0.01, ***P &lt; 0.001, ****P &lt; 0.0001. Results are expressed as mean +/- SEM. </w:t>
      </w:r>
      <w:r w:rsidRPr="00D2742D">
        <w:rPr>
          <w:bCs/>
          <w:sz w:val="24"/>
          <w:szCs w:val="24"/>
        </w:rPr>
        <w:t>Ctrl</w:t>
      </w:r>
      <w:r w:rsidRPr="006B5E5B">
        <w:rPr>
          <w:bCs/>
          <w:sz w:val="24"/>
          <w:szCs w:val="24"/>
          <w:vertAlign w:val="subscript"/>
        </w:rPr>
        <w:t>F1</w:t>
      </w:r>
      <w:r w:rsidRPr="00D2742D">
        <w:rPr>
          <w:bCs/>
          <w:sz w:val="24"/>
          <w:szCs w:val="24"/>
        </w:rPr>
        <w:t>-AAV</w:t>
      </w:r>
      <w:r w:rsidRPr="00157FC3">
        <w:rPr>
          <w:bCs/>
          <w:sz w:val="24"/>
          <w:szCs w:val="24"/>
          <w:vertAlign w:val="subscript"/>
        </w:rPr>
        <w:t>E</w:t>
      </w:r>
      <w:r w:rsidRPr="00D2742D">
        <w:rPr>
          <w:bCs/>
          <w:sz w:val="24"/>
          <w:szCs w:val="24"/>
        </w:rPr>
        <w:t>: Ctrl</w:t>
      </w:r>
      <w:r w:rsidRPr="006B5E5B">
        <w:rPr>
          <w:bCs/>
          <w:sz w:val="24"/>
          <w:szCs w:val="24"/>
          <w:vertAlign w:val="subscript"/>
        </w:rPr>
        <w:t>F1</w:t>
      </w:r>
      <w:r w:rsidRPr="00D2742D">
        <w:rPr>
          <w:bCs/>
          <w:sz w:val="24"/>
          <w:szCs w:val="24"/>
        </w:rPr>
        <w:t xml:space="preserve"> with empty control AAV injected at postnatal W3</w:t>
      </w:r>
      <w:r w:rsidR="00157FC3">
        <w:rPr>
          <w:bCs/>
          <w:sz w:val="24"/>
          <w:szCs w:val="24"/>
        </w:rPr>
        <w:t>;</w:t>
      </w:r>
      <w:r w:rsidRPr="00D2742D">
        <w:rPr>
          <w:bCs/>
          <w:sz w:val="24"/>
          <w:szCs w:val="24"/>
        </w:rPr>
        <w:t xml:space="preserve"> Ctrl</w:t>
      </w:r>
      <w:r w:rsidRPr="006B5E5B">
        <w:rPr>
          <w:bCs/>
          <w:sz w:val="24"/>
          <w:szCs w:val="24"/>
          <w:vertAlign w:val="subscript"/>
        </w:rPr>
        <w:t>F1</w:t>
      </w:r>
      <w:r w:rsidR="00157FC3">
        <w:rPr>
          <w:bCs/>
          <w:sz w:val="24"/>
          <w:szCs w:val="24"/>
        </w:rPr>
        <w:t>-</w:t>
      </w:r>
      <w:r w:rsidRPr="00D2742D">
        <w:rPr>
          <w:bCs/>
          <w:sz w:val="24"/>
          <w:szCs w:val="24"/>
        </w:rPr>
        <w:t>AAV</w:t>
      </w:r>
      <w:r w:rsidRPr="006B5E5B">
        <w:rPr>
          <w:bCs/>
          <w:sz w:val="24"/>
          <w:szCs w:val="24"/>
          <w:vertAlign w:val="subscript"/>
        </w:rPr>
        <w:t>IL2</w:t>
      </w:r>
      <w:r w:rsidRPr="00D2742D">
        <w:rPr>
          <w:bCs/>
          <w:sz w:val="24"/>
          <w:szCs w:val="24"/>
        </w:rPr>
        <w:t>: Ctrl</w:t>
      </w:r>
      <w:r w:rsidRPr="006B5E5B">
        <w:rPr>
          <w:bCs/>
          <w:sz w:val="24"/>
          <w:szCs w:val="24"/>
          <w:vertAlign w:val="subscript"/>
        </w:rPr>
        <w:t>F1</w:t>
      </w:r>
      <w:r w:rsidRPr="00D2742D">
        <w:rPr>
          <w:bCs/>
          <w:sz w:val="24"/>
          <w:szCs w:val="24"/>
        </w:rPr>
        <w:t xml:space="preserve"> with IL-2 producing AAV injected at postnatal W3.</w:t>
      </w:r>
    </w:p>
    <w:p w14:paraId="647CF234" w14:textId="06CD768B" w:rsidR="006A59CB" w:rsidRPr="0066579D" w:rsidRDefault="006A59CB" w:rsidP="000260B0">
      <w:pPr>
        <w:spacing w:line="480" w:lineRule="auto"/>
        <w:jc w:val="both"/>
        <w:rPr>
          <w:sz w:val="24"/>
          <w:szCs w:val="24"/>
        </w:rPr>
      </w:pPr>
      <w:r w:rsidRPr="00BF4C5D">
        <w:rPr>
          <w:b/>
          <w:sz w:val="24"/>
          <w:szCs w:val="24"/>
        </w:rPr>
        <w:t>Figure S6: Maternal immune activation methodology</w:t>
      </w:r>
      <w:r w:rsidRPr="00BF4C5D">
        <w:rPr>
          <w:sz w:val="24"/>
          <w:szCs w:val="24"/>
        </w:rPr>
        <w:t xml:space="preserve"> (A) Schematic of the experimental design. At E12.5, pregnant mothers were injected intraperitoneally with PBS (for Ctrl) or poly(I:C) (for MIA). (B) Three hours after the injection of poly(I:C), the efficacy of MIA was verified by measuring the level of IL-17</w:t>
      </w:r>
      <w:r w:rsidR="00BF4C5D" w:rsidRPr="00BF4C5D">
        <w:rPr>
          <w:sz w:val="24"/>
          <w:szCs w:val="24"/>
        </w:rPr>
        <w:t>a</w:t>
      </w:r>
      <w:r w:rsidRPr="00BF4C5D">
        <w:rPr>
          <w:sz w:val="24"/>
          <w:szCs w:val="24"/>
        </w:rPr>
        <w:t xml:space="preserve"> in </w:t>
      </w:r>
      <w:r w:rsidRPr="00401163">
        <w:rPr>
          <w:sz w:val="24"/>
          <w:szCs w:val="24"/>
          <w:lang w:val="en-GB"/>
        </w:rPr>
        <w:t>maternal</w:t>
      </w:r>
      <w:r w:rsidRPr="00BF4C5D">
        <w:rPr>
          <w:sz w:val="24"/>
          <w:szCs w:val="24"/>
        </w:rPr>
        <w:t xml:space="preserve"> serum.</w:t>
      </w:r>
      <w:r>
        <w:rPr>
          <w:sz w:val="24"/>
          <w:szCs w:val="24"/>
        </w:rPr>
        <w:t xml:space="preserve"> </w:t>
      </w:r>
    </w:p>
    <w:p w14:paraId="28649B05" w14:textId="77777777" w:rsidR="007745DC" w:rsidRDefault="007745DC" w:rsidP="000E032B">
      <w:pPr>
        <w:spacing w:line="480" w:lineRule="auto"/>
        <w:jc w:val="both"/>
        <w:rPr>
          <w:rFonts w:cstheme="minorHAnsi"/>
          <w:b/>
          <w:sz w:val="24"/>
          <w:szCs w:val="24"/>
        </w:rPr>
      </w:pPr>
    </w:p>
    <w:p w14:paraId="4F1BF9EE" w14:textId="3F54796E" w:rsidR="007B1F15" w:rsidRPr="00107939" w:rsidRDefault="004E4667" w:rsidP="007B1F15">
      <w:pPr>
        <w:spacing w:line="480" w:lineRule="auto"/>
        <w:jc w:val="both"/>
        <w:rPr>
          <w:rFonts w:cstheme="minorHAnsi"/>
          <w:b/>
          <w:sz w:val="24"/>
          <w:szCs w:val="24"/>
        </w:rPr>
      </w:pPr>
      <w:r w:rsidRPr="00107939">
        <w:rPr>
          <w:rFonts w:cstheme="minorHAnsi"/>
          <w:b/>
          <w:sz w:val="24"/>
          <w:szCs w:val="24"/>
        </w:rPr>
        <w:t>Supplementary Table 1</w:t>
      </w:r>
      <w:r w:rsidR="006B5E5B" w:rsidRPr="00107939">
        <w:rPr>
          <w:rFonts w:cstheme="minorHAnsi"/>
          <w:b/>
          <w:sz w:val="24"/>
          <w:szCs w:val="24"/>
        </w:rPr>
        <w:t xml:space="preserve">: </w:t>
      </w:r>
      <w:r w:rsidR="007B1F15" w:rsidRPr="00107939">
        <w:rPr>
          <w:rFonts w:cstheme="minorHAnsi"/>
          <w:b/>
          <w:sz w:val="24"/>
          <w:szCs w:val="24"/>
        </w:rPr>
        <w:t xml:space="preserve">Clinical evolution of the two </w:t>
      </w:r>
      <w:r w:rsidR="00133F35">
        <w:rPr>
          <w:rFonts w:cstheme="minorHAnsi"/>
          <w:b/>
          <w:sz w:val="24"/>
          <w:szCs w:val="24"/>
        </w:rPr>
        <w:t>ASD children with a</w:t>
      </w:r>
      <w:r w:rsidR="00401163">
        <w:rPr>
          <w:rFonts w:cstheme="minorHAnsi"/>
          <w:b/>
          <w:sz w:val="24"/>
          <w:szCs w:val="24"/>
        </w:rPr>
        <w:t>n</w:t>
      </w:r>
      <w:bookmarkStart w:id="0" w:name="_GoBack"/>
      <w:bookmarkEnd w:id="0"/>
      <w:r w:rsidR="00133F35">
        <w:rPr>
          <w:rFonts w:cstheme="minorHAnsi"/>
          <w:b/>
          <w:sz w:val="24"/>
          <w:szCs w:val="24"/>
        </w:rPr>
        <w:t xml:space="preserve"> history of maternal immune activation during pregnancy</w:t>
      </w:r>
      <w:r w:rsidR="007B1F15" w:rsidRPr="00107939">
        <w:rPr>
          <w:rFonts w:cstheme="minorHAnsi"/>
          <w:b/>
          <w:sz w:val="24"/>
          <w:szCs w:val="24"/>
        </w:rPr>
        <w:t xml:space="preserve"> over 6 months of low-dose IL-2 treatment, as assessed by standardized scales. </w:t>
      </w:r>
    </w:p>
    <w:p w14:paraId="7733C53D" w14:textId="6992ECA1" w:rsidR="001146ED" w:rsidRPr="00107939" w:rsidRDefault="007B1F15" w:rsidP="001146ED">
      <w:pPr>
        <w:spacing w:line="480" w:lineRule="auto"/>
        <w:jc w:val="both"/>
        <w:rPr>
          <w:rFonts w:cstheme="minorHAnsi"/>
          <w:sz w:val="24"/>
          <w:szCs w:val="24"/>
          <w:lang w:val="en-GB"/>
        </w:rPr>
      </w:pPr>
      <w:r w:rsidRPr="00107939">
        <w:rPr>
          <w:rFonts w:cstheme="minorHAnsi"/>
          <w:bCs/>
          <w:sz w:val="24"/>
          <w:szCs w:val="24"/>
          <w:lang w:val="en-GB"/>
        </w:rPr>
        <w:lastRenderedPageBreak/>
        <w:t>The table summarizes the longitudinal changes observed in both patients at baseline and after 6 months of low-dose IL-2 treatment using two standardized instruments (</w:t>
      </w:r>
      <w:proofErr w:type="spellStart"/>
      <w:r w:rsidRPr="00107939">
        <w:rPr>
          <w:rFonts w:cstheme="minorHAnsi"/>
          <w:bCs/>
          <w:sz w:val="24"/>
          <w:szCs w:val="24"/>
          <w:lang w:val="en-GB"/>
        </w:rPr>
        <w:t>i</w:t>
      </w:r>
      <w:proofErr w:type="spellEnd"/>
      <w:r w:rsidRPr="00107939">
        <w:rPr>
          <w:rFonts w:cstheme="minorHAnsi"/>
          <w:bCs/>
          <w:sz w:val="24"/>
          <w:szCs w:val="24"/>
          <w:lang w:val="en-GB"/>
        </w:rPr>
        <w:t xml:space="preserve">) SRS-2 (Social Responsiveness Scale, 2nd edition): a </w:t>
      </w:r>
      <w:r w:rsidRPr="00401163">
        <w:rPr>
          <w:rFonts w:cstheme="minorHAnsi"/>
          <w:bCs/>
          <w:sz w:val="24"/>
          <w:szCs w:val="24"/>
        </w:rPr>
        <w:t>quantitative</w:t>
      </w:r>
      <w:r w:rsidRPr="00107939">
        <w:rPr>
          <w:rFonts w:cstheme="minorHAnsi"/>
          <w:bCs/>
          <w:sz w:val="24"/>
          <w:szCs w:val="24"/>
          <w:lang w:val="en-GB"/>
        </w:rPr>
        <w:t xml:space="preserve"> questionnaire that measures the severity of autistic symptoms across social awareness, social cognition, social communication, social motivation, and restricted interests/repetitive </w:t>
      </w:r>
      <w:proofErr w:type="spellStart"/>
      <w:r w:rsidRPr="00107939">
        <w:rPr>
          <w:rFonts w:cstheme="minorHAnsi"/>
          <w:bCs/>
          <w:sz w:val="24"/>
          <w:szCs w:val="24"/>
          <w:lang w:val="en-GB"/>
        </w:rPr>
        <w:t>behaviors</w:t>
      </w:r>
      <w:proofErr w:type="spellEnd"/>
      <w:r w:rsidRPr="00107939">
        <w:rPr>
          <w:rFonts w:cstheme="minorHAnsi"/>
          <w:bCs/>
          <w:sz w:val="24"/>
          <w:szCs w:val="24"/>
          <w:lang w:val="en-GB"/>
        </w:rPr>
        <w:t>, with higher scores indicating more severe impairment (ii) ADOS</w:t>
      </w:r>
      <w:r w:rsidR="00157FC3" w:rsidRPr="00107939">
        <w:rPr>
          <w:rFonts w:cstheme="minorHAnsi"/>
          <w:bCs/>
          <w:sz w:val="24"/>
          <w:szCs w:val="24"/>
          <w:lang w:val="en-GB"/>
        </w:rPr>
        <w:t>-2</w:t>
      </w:r>
      <w:r w:rsidRPr="00107939">
        <w:rPr>
          <w:rFonts w:cstheme="minorHAnsi"/>
          <w:bCs/>
          <w:sz w:val="24"/>
          <w:szCs w:val="24"/>
          <w:lang w:val="en-GB"/>
        </w:rPr>
        <w:t xml:space="preserve"> (Autism Diagnostic Observation Schedule): a semi-structured standardized assessment that directly observes and codes social interaction, communication, play, and imaginative use of materials to evaluate autism-related </w:t>
      </w:r>
      <w:proofErr w:type="spellStart"/>
      <w:r w:rsidRPr="00107939">
        <w:rPr>
          <w:rFonts w:cstheme="minorHAnsi"/>
          <w:bCs/>
          <w:sz w:val="24"/>
          <w:szCs w:val="24"/>
          <w:lang w:val="en-GB"/>
        </w:rPr>
        <w:t>behaviors</w:t>
      </w:r>
      <w:proofErr w:type="spellEnd"/>
      <w:r w:rsidRPr="00107939">
        <w:rPr>
          <w:rFonts w:cstheme="minorHAnsi"/>
          <w:bCs/>
          <w:sz w:val="24"/>
          <w:szCs w:val="24"/>
          <w:lang w:val="en-GB"/>
        </w:rPr>
        <w:t xml:space="preserve"> across different modules adapted to age and language level</w:t>
      </w:r>
      <w:r w:rsidR="001146ED" w:rsidRPr="00107939">
        <w:rPr>
          <w:rFonts w:cstheme="minorHAnsi"/>
          <w:bCs/>
          <w:sz w:val="24"/>
          <w:szCs w:val="24"/>
          <w:lang w:val="en-GB"/>
        </w:rPr>
        <w:t xml:space="preserve"> (iii) </w:t>
      </w:r>
      <w:r w:rsidR="001146ED" w:rsidRPr="00107939">
        <w:rPr>
          <w:rFonts w:cstheme="minorHAnsi"/>
          <w:sz w:val="24"/>
          <w:szCs w:val="24"/>
          <w:lang w:val="en-GB"/>
        </w:rPr>
        <w:t xml:space="preserve">the Vineland Adaptive </w:t>
      </w:r>
      <w:proofErr w:type="spellStart"/>
      <w:r w:rsidR="001146ED" w:rsidRPr="00107939">
        <w:rPr>
          <w:rFonts w:cstheme="minorHAnsi"/>
          <w:sz w:val="24"/>
          <w:szCs w:val="24"/>
          <w:lang w:val="en-GB"/>
        </w:rPr>
        <w:t>Behavior</w:t>
      </w:r>
      <w:proofErr w:type="spellEnd"/>
      <w:r w:rsidR="001146ED" w:rsidRPr="00107939">
        <w:rPr>
          <w:rFonts w:cstheme="minorHAnsi"/>
          <w:sz w:val="24"/>
          <w:szCs w:val="24"/>
          <w:lang w:val="en-GB"/>
        </w:rPr>
        <w:t xml:space="preserve"> Scales, Second Edition (VABS-2), a caregiver interview assessing adaptive functioning in the domains of communication, socialization, and daily living skills</w:t>
      </w:r>
      <w:r w:rsidR="00A75E7E">
        <w:rPr>
          <w:rFonts w:cstheme="minorHAnsi"/>
          <w:sz w:val="24"/>
          <w:szCs w:val="24"/>
          <w:lang w:val="en-GB"/>
        </w:rPr>
        <w:t xml:space="preserve"> with </w:t>
      </w:r>
      <w:r w:rsidR="00401163">
        <w:rPr>
          <w:rFonts w:cstheme="minorHAnsi"/>
          <w:sz w:val="24"/>
          <w:szCs w:val="24"/>
          <w:lang w:val="en-GB"/>
        </w:rPr>
        <w:t>sub scores</w:t>
      </w:r>
      <w:r w:rsidR="001146ED" w:rsidRPr="00107939">
        <w:rPr>
          <w:rFonts w:cstheme="minorHAnsi"/>
          <w:sz w:val="24"/>
          <w:szCs w:val="24"/>
          <w:lang w:val="en-GB"/>
        </w:rPr>
        <w:t xml:space="preserve">. </w:t>
      </w:r>
      <w:r w:rsidR="00133F35">
        <w:rPr>
          <w:rFonts w:cstheme="minorHAnsi"/>
          <w:sz w:val="24"/>
          <w:szCs w:val="24"/>
          <w:lang w:val="en-GB"/>
        </w:rPr>
        <w:t>MIA: Maternal immune activation</w:t>
      </w:r>
    </w:p>
    <w:p w14:paraId="10DAAB20" w14:textId="2DE52C1F" w:rsidR="007B1F15" w:rsidRPr="007B1F15" w:rsidRDefault="007B1F15" w:rsidP="007B1F15">
      <w:pPr>
        <w:jc w:val="both"/>
        <w:rPr>
          <w:sz w:val="24"/>
          <w:szCs w:val="24"/>
        </w:rPr>
      </w:pPr>
    </w:p>
    <w:sectPr w:rsidR="007B1F15" w:rsidRPr="007B1F15" w:rsidSect="00742D82">
      <w:footerReference w:type="default" r:id="rId7"/>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DF2BF" w14:textId="77777777" w:rsidR="002D658C" w:rsidRDefault="002D658C">
      <w:pPr>
        <w:spacing w:after="0" w:line="240" w:lineRule="auto"/>
      </w:pPr>
      <w:r>
        <w:separator/>
      </w:r>
    </w:p>
  </w:endnote>
  <w:endnote w:type="continuationSeparator" w:id="0">
    <w:p w14:paraId="132726CF" w14:textId="77777777" w:rsidR="002D658C" w:rsidRDefault="002D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231863"/>
      <w:docPartObj>
        <w:docPartGallery w:val="Page Numbers (Bottom of Page)"/>
        <w:docPartUnique/>
      </w:docPartObj>
    </w:sdtPr>
    <w:sdtEndPr/>
    <w:sdtContent>
      <w:p w14:paraId="7D2380C3" w14:textId="77777777" w:rsidR="00F9509F" w:rsidRDefault="000E032B">
        <w:pPr>
          <w:pStyle w:val="Pieddepage"/>
          <w:jc w:val="right"/>
        </w:pPr>
        <w:r>
          <w:fldChar w:fldCharType="begin"/>
        </w:r>
        <w:r>
          <w:instrText>PAGE   \* MERGEFORMAT</w:instrText>
        </w:r>
        <w:r>
          <w:fldChar w:fldCharType="separate"/>
        </w:r>
        <w:r>
          <w:rPr>
            <w:lang w:val="fr-FR"/>
          </w:rPr>
          <w:t>2</w:t>
        </w:r>
        <w:r>
          <w:fldChar w:fldCharType="end"/>
        </w:r>
      </w:p>
    </w:sdtContent>
  </w:sdt>
  <w:p w14:paraId="560FBD50" w14:textId="77777777" w:rsidR="00F9509F" w:rsidRDefault="00F950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31E55" w14:textId="77777777" w:rsidR="002D658C" w:rsidRDefault="002D658C">
      <w:pPr>
        <w:spacing w:after="0" w:line="240" w:lineRule="auto"/>
      </w:pPr>
      <w:r>
        <w:separator/>
      </w:r>
    </w:p>
  </w:footnote>
  <w:footnote w:type="continuationSeparator" w:id="0">
    <w:p w14:paraId="6C16A068" w14:textId="77777777" w:rsidR="002D658C" w:rsidRDefault="002D6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5796B"/>
    <w:multiLevelType w:val="hybridMultilevel"/>
    <w:tmpl w:val="95EAE036"/>
    <w:lvl w:ilvl="0" w:tplc="DBA0297A">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2B"/>
    <w:rsid w:val="000260B0"/>
    <w:rsid w:val="00055819"/>
    <w:rsid w:val="000771D1"/>
    <w:rsid w:val="000959EB"/>
    <w:rsid w:val="000E032B"/>
    <w:rsid w:val="00107939"/>
    <w:rsid w:val="001146ED"/>
    <w:rsid w:val="00131553"/>
    <w:rsid w:val="00133F35"/>
    <w:rsid w:val="00155452"/>
    <w:rsid w:val="00157FC3"/>
    <w:rsid w:val="00177867"/>
    <w:rsid w:val="00191DB2"/>
    <w:rsid w:val="00275BBB"/>
    <w:rsid w:val="0028723B"/>
    <w:rsid w:val="002D658C"/>
    <w:rsid w:val="002E70DB"/>
    <w:rsid w:val="00304D66"/>
    <w:rsid w:val="00365D7C"/>
    <w:rsid w:val="003B12AB"/>
    <w:rsid w:val="00401163"/>
    <w:rsid w:val="004E4667"/>
    <w:rsid w:val="00603DCE"/>
    <w:rsid w:val="00626302"/>
    <w:rsid w:val="0066579D"/>
    <w:rsid w:val="006A59CB"/>
    <w:rsid w:val="006B5E5B"/>
    <w:rsid w:val="006C2E5C"/>
    <w:rsid w:val="00747EC0"/>
    <w:rsid w:val="007745DC"/>
    <w:rsid w:val="007B1F15"/>
    <w:rsid w:val="007D010B"/>
    <w:rsid w:val="008E4778"/>
    <w:rsid w:val="00975FA7"/>
    <w:rsid w:val="009B051C"/>
    <w:rsid w:val="009F4D7A"/>
    <w:rsid w:val="00A75E7E"/>
    <w:rsid w:val="00A95122"/>
    <w:rsid w:val="00AE50AE"/>
    <w:rsid w:val="00AF1D78"/>
    <w:rsid w:val="00BF4C5D"/>
    <w:rsid w:val="00C232F4"/>
    <w:rsid w:val="00C37141"/>
    <w:rsid w:val="00C54B76"/>
    <w:rsid w:val="00CF7908"/>
    <w:rsid w:val="00D02826"/>
    <w:rsid w:val="00D2742D"/>
    <w:rsid w:val="00D36C03"/>
    <w:rsid w:val="00D97389"/>
    <w:rsid w:val="00DB2F2C"/>
    <w:rsid w:val="00F950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C1B6"/>
  <w15:chartTrackingRefBased/>
  <w15:docId w15:val="{150AA937-4C43-4AC8-A639-36DD31F4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2B"/>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E03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32B"/>
    <w:rPr>
      <w:lang w:val="en-US"/>
    </w:rPr>
  </w:style>
  <w:style w:type="character" w:styleId="Numrodeligne">
    <w:name w:val="line number"/>
    <w:basedOn w:val="Policepardfaut"/>
    <w:uiPriority w:val="99"/>
    <w:semiHidden/>
    <w:unhideWhenUsed/>
    <w:rsid w:val="000E032B"/>
  </w:style>
  <w:style w:type="character" w:styleId="lev">
    <w:name w:val="Strong"/>
    <w:basedOn w:val="Policepardfaut"/>
    <w:uiPriority w:val="22"/>
    <w:qFormat/>
    <w:rsid w:val="00D02826"/>
    <w:rPr>
      <w:b/>
      <w:bCs/>
    </w:rPr>
  </w:style>
  <w:style w:type="character" w:styleId="Accentuation">
    <w:name w:val="Emphasis"/>
    <w:basedOn w:val="Policepardfaut"/>
    <w:uiPriority w:val="20"/>
    <w:qFormat/>
    <w:rsid w:val="00157FC3"/>
    <w:rPr>
      <w:i/>
      <w:iCs/>
    </w:rPr>
  </w:style>
  <w:style w:type="paragraph" w:styleId="Paragraphedeliste">
    <w:name w:val="List Paragraph"/>
    <w:basedOn w:val="Normal"/>
    <w:uiPriority w:val="34"/>
    <w:qFormat/>
    <w:rsid w:val="001146ED"/>
    <w:pPr>
      <w:spacing w:after="0" w:line="240" w:lineRule="auto"/>
      <w:ind w:left="720"/>
      <w:contextualSpacing/>
    </w:pPr>
    <w:rPr>
      <w:rFonts w:ascii="Times New Roman" w:eastAsia="Times New Roman" w:hAnsi="Times New Roman" w:cs="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710</Words>
  <Characters>4052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Ellul</dc:creator>
  <cp:keywords/>
  <dc:description/>
  <cp:lastModifiedBy>Pierre Ellul</cp:lastModifiedBy>
  <cp:revision>13</cp:revision>
  <dcterms:created xsi:type="dcterms:W3CDTF">2026-06-04T18:29:00Z</dcterms:created>
  <dcterms:modified xsi:type="dcterms:W3CDTF">2026-06-08T11:07:00Z</dcterms:modified>
</cp:coreProperties>
</file>