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55645" w14:textId="305E1D48" w:rsidR="00B4168C" w:rsidRDefault="00B4168C" w:rsidP="00B552F5">
      <w:pPr>
        <w:spacing w:line="480" w:lineRule="auto"/>
        <w:rPr>
          <w:rFonts w:ascii="Times New Roman" w:hAnsi="Times New Roman" w:cs="Times New Roman"/>
          <w:b/>
          <w:bCs/>
        </w:rPr>
      </w:pPr>
      <w:r w:rsidRPr="00B552F5">
        <w:rPr>
          <w:rFonts w:ascii="Times New Roman" w:hAnsi="Times New Roman" w:cs="Times New Roman"/>
        </w:rPr>
        <w:t>Three-dimensional motion capture discriminates extremely mild cerebellar ataxia from parkinsonism in the upper limbs</w:t>
      </w:r>
    </w:p>
    <w:p w14:paraId="53F6711C" w14:textId="77777777" w:rsidR="00B4168C" w:rsidRDefault="00B4168C" w:rsidP="00B552F5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E391F0B" w14:textId="7DB6D35C" w:rsidR="00B552F5" w:rsidRPr="00B4168C" w:rsidRDefault="00B4168C" w:rsidP="00B552F5">
      <w:pPr>
        <w:spacing w:after="160" w:line="480" w:lineRule="auto"/>
        <w:rPr>
          <w:rFonts w:ascii="Times New Roman" w:hAnsi="Times New Roman" w:cs="Times New Roman" w:hint="eastAsia"/>
          <w:b/>
          <w:bCs/>
        </w:rPr>
      </w:pPr>
      <w:r w:rsidRPr="00B4168C">
        <w:rPr>
          <w:rFonts w:ascii="Times New Roman" w:hAnsi="Times New Roman" w:cs="Times New Roman"/>
          <w:b/>
          <w:bCs/>
        </w:rPr>
        <w:t>Supplementary materials</w:t>
      </w:r>
    </w:p>
    <w:p w14:paraId="0F8AAE70" w14:textId="216DB085" w:rsidR="00B552F5" w:rsidRDefault="00855D7A" w:rsidP="00B552F5">
      <w:pPr>
        <w:spacing w:line="480" w:lineRule="auto"/>
        <w:rPr>
          <w:rFonts w:ascii="Times New Roman" w:hAnsi="Times New Roman" w:cs="Times New Roman"/>
        </w:rPr>
      </w:pPr>
      <w:r w:rsidRPr="00855D7A">
        <w:rPr>
          <w:rFonts w:ascii="Times New Roman" w:eastAsiaTheme="minorEastAsia" w:hAnsi="Times New Roman" w:cs="Times New Roman" w:hint="eastAsia"/>
          <w:b/>
          <w:bCs/>
          <w:szCs w:val="24"/>
        </w:rPr>
        <w:t>Supplementary Fig</w:t>
      </w:r>
      <w:r w:rsidR="001843AB">
        <w:rPr>
          <w:rFonts w:ascii="Times New Roman" w:eastAsiaTheme="minorEastAsia" w:hAnsi="Times New Roman" w:cs="Times New Roman" w:hint="eastAsia"/>
          <w:b/>
          <w:bCs/>
          <w:szCs w:val="24"/>
        </w:rPr>
        <w:t>.</w:t>
      </w:r>
      <w:r>
        <w:rPr>
          <w:rFonts w:ascii="Times New Roman" w:hAnsi="Times New Roman" w:cs="Times New Roman" w:hint="eastAsia"/>
        </w:rPr>
        <w:t xml:space="preserve"> 1</w:t>
      </w:r>
      <w:r w:rsidR="00B552F5" w:rsidRPr="00855D7A">
        <w:rPr>
          <w:rFonts w:ascii="Times New Roman" w:hAnsi="Times New Roman" w:cs="Times New Roman"/>
        </w:rPr>
        <w:br/>
      </w:r>
      <w:r w:rsidR="00B552F5" w:rsidRPr="00B552F5">
        <w:rPr>
          <w:rFonts w:ascii="Times New Roman" w:hAnsi="Times New Roman" w:cs="Times New Roman"/>
        </w:rPr>
        <w:t>Comparison of FNT-forward parameters among mild SCD, mild PD and NCs in the experimental cohort.</w:t>
      </w:r>
    </w:p>
    <w:p w14:paraId="21391B1F" w14:textId="105FBE70" w:rsidR="00B552F5" w:rsidRPr="00B552F5" w:rsidRDefault="00B4168C" w:rsidP="00B552F5">
      <w:pPr>
        <w:spacing w:line="480" w:lineRule="auto"/>
        <w:rPr>
          <w:rFonts w:ascii="Times New Roman" w:hAnsi="Times New Roman" w:cs="Times New Roman"/>
        </w:rPr>
      </w:pPr>
      <w:r>
        <w:rPr>
          <w:noProof/>
          <w14:ligatures w14:val="standardContextual"/>
        </w:rPr>
        <w:drawing>
          <wp:inline distT="0" distB="0" distL="0" distR="0" wp14:anchorId="44197ABF" wp14:editId="759B4F2B">
            <wp:extent cx="5909760" cy="3533775"/>
            <wp:effectExtent l="0" t="0" r="0" b="0"/>
            <wp:docPr id="139829130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291300" name=""/>
                    <pic:cNvPicPr/>
                  </pic:nvPicPr>
                  <pic:blipFill rotWithShape="1"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rcRect l="5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073" cy="354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A340E" w14:textId="2125771B" w:rsidR="00B4168C" w:rsidRDefault="00B4168C" w:rsidP="00B4168C">
      <w:pPr>
        <w:tabs>
          <w:tab w:val="left" w:pos="1970"/>
        </w:tabs>
        <w:spacing w:line="480" w:lineRule="auto"/>
        <w:rPr>
          <w:rFonts w:ascii="Times New Roman" w:hAnsi="Times New Roman" w:cs="Times New Roman"/>
        </w:rPr>
      </w:pPr>
    </w:p>
    <w:p w14:paraId="27BD384C" w14:textId="77777777" w:rsidR="00B4168C" w:rsidRDefault="00B4168C">
      <w:pPr>
        <w:spacing w:after="160"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BF6A587" w14:textId="77777777" w:rsidR="00B4168C" w:rsidRPr="00B4168C" w:rsidRDefault="00B4168C" w:rsidP="00B4168C">
      <w:pPr>
        <w:tabs>
          <w:tab w:val="left" w:pos="1970"/>
        </w:tabs>
        <w:spacing w:line="480" w:lineRule="auto"/>
        <w:rPr>
          <w:rFonts w:ascii="Times New Roman" w:hAnsi="Times New Roman" w:cs="Times New Roman"/>
        </w:rPr>
      </w:pPr>
      <w:r w:rsidRPr="00B4168C">
        <w:rPr>
          <w:rFonts w:ascii="Times New Roman" w:hAnsi="Times New Roman" w:cs="Times New Roman"/>
          <w:b/>
          <w:bCs/>
        </w:rPr>
        <w:lastRenderedPageBreak/>
        <w:t>Supplementary Fig. 2</w:t>
      </w:r>
      <w:r w:rsidRPr="00B4168C">
        <w:rPr>
          <w:rFonts w:ascii="Times New Roman" w:hAnsi="Times New Roman" w:cs="Times New Roman"/>
        </w:rPr>
        <w:br/>
        <w:t>Comparison of FNT-backward parameters among mild SCD, mild PD and NCs in the experimental cohort.</w:t>
      </w:r>
    </w:p>
    <w:p w14:paraId="50391218" w14:textId="77777777" w:rsidR="00B4168C" w:rsidRPr="00B4168C" w:rsidRDefault="00B4168C" w:rsidP="00B4168C">
      <w:pPr>
        <w:tabs>
          <w:tab w:val="left" w:pos="1970"/>
        </w:tabs>
        <w:spacing w:line="480" w:lineRule="auto"/>
        <w:rPr>
          <w:rFonts w:ascii="Times New Roman" w:hAnsi="Times New Roman" w:cs="Times New Roman"/>
        </w:rPr>
      </w:pPr>
    </w:p>
    <w:p w14:paraId="38780BB2" w14:textId="019EE457" w:rsidR="00B4168C" w:rsidRDefault="00B4168C" w:rsidP="00B4168C">
      <w:pPr>
        <w:tabs>
          <w:tab w:val="left" w:pos="1970"/>
        </w:tabs>
        <w:spacing w:line="480" w:lineRule="auto"/>
        <w:rPr>
          <w:rFonts w:ascii="Times New Roman" w:hAnsi="Times New Roman" w:cs="Times New Roman"/>
        </w:rPr>
      </w:pPr>
      <w:r w:rsidRPr="00B4168C">
        <w:rPr>
          <w:rFonts w:ascii="Times New Roman" w:hAnsi="Times New Roman" w:cs="Times New Roman"/>
        </w:rPr>
        <w:drawing>
          <wp:inline distT="0" distB="0" distL="0" distR="0" wp14:anchorId="47AA94AD" wp14:editId="05E04FE7">
            <wp:extent cx="5857875" cy="3781425"/>
            <wp:effectExtent l="0" t="0" r="9525" b="9525"/>
            <wp:docPr id="679900426" name="グラフィックス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584530" name="Graphic 1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78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3B17C4" w14:textId="6D0BA7BF" w:rsidR="00B4168C" w:rsidRDefault="00B4168C" w:rsidP="00B4168C">
      <w:pPr>
        <w:spacing w:after="160" w:line="278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br w:type="page"/>
      </w:r>
    </w:p>
    <w:p w14:paraId="331F3672" w14:textId="77777777" w:rsidR="00B4168C" w:rsidRPr="00B4168C" w:rsidRDefault="00B4168C" w:rsidP="00B4168C">
      <w:pPr>
        <w:tabs>
          <w:tab w:val="left" w:pos="1970"/>
        </w:tabs>
        <w:spacing w:line="480" w:lineRule="auto"/>
        <w:rPr>
          <w:rFonts w:ascii="Times New Roman" w:hAnsi="Times New Roman" w:cs="Times New Roman"/>
        </w:rPr>
      </w:pPr>
      <w:r w:rsidRPr="00B4168C">
        <w:rPr>
          <w:rFonts w:ascii="Times New Roman" w:hAnsi="Times New Roman" w:cs="Times New Roman"/>
          <w:b/>
          <w:bCs/>
        </w:rPr>
        <w:lastRenderedPageBreak/>
        <w:t>Supplementary Fig. 3</w:t>
      </w:r>
      <w:r w:rsidRPr="00B4168C">
        <w:rPr>
          <w:rFonts w:ascii="Times New Roman" w:hAnsi="Times New Roman" w:cs="Times New Roman"/>
        </w:rPr>
        <w:br/>
        <w:t>Comparison of DDKT parameters among mild SCD, mild PD and NCs in the experimental cohort.</w:t>
      </w:r>
    </w:p>
    <w:p w14:paraId="4F78707B" w14:textId="7FDC3542" w:rsidR="00B4168C" w:rsidRPr="00B4168C" w:rsidRDefault="00B4168C" w:rsidP="00B4168C">
      <w:pPr>
        <w:tabs>
          <w:tab w:val="left" w:pos="1970"/>
        </w:tabs>
        <w:spacing w:line="480" w:lineRule="auto"/>
        <w:rPr>
          <w:rFonts w:ascii="Times New Roman" w:hAnsi="Times New Roman" w:cs="Times New Roman"/>
        </w:rPr>
      </w:pPr>
      <w:r w:rsidRPr="00B4168C">
        <w:rPr>
          <w:rFonts w:ascii="Times New Roman" w:hAnsi="Times New Roman" w:cs="Times New Roman"/>
        </w:rPr>
        <w:drawing>
          <wp:inline distT="0" distB="0" distL="0" distR="0" wp14:anchorId="2FEE6F1B" wp14:editId="55B7112F">
            <wp:extent cx="5905500" cy="3714750"/>
            <wp:effectExtent l="0" t="0" r="0" b="0"/>
            <wp:docPr id="1174848127" name="グラフィックス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74967" name="Graphic 1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71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4168C">
        <w:rPr>
          <w:rFonts w:ascii="Times New Roman" w:hAnsi="Times New Roman" w:cs="Times New Roman"/>
        </w:rPr>
        <w:t xml:space="preserve"> </w:t>
      </w:r>
      <w:r w:rsidRPr="00B4168C">
        <w:rPr>
          <w:rFonts w:ascii="Times New Roman" w:hAnsi="Times New Roman" w:cs="Times New Roman"/>
        </w:rPr>
        <w:drawing>
          <wp:inline distT="0" distB="0" distL="0" distR="0" wp14:anchorId="3DF41FEF" wp14:editId="4158AA2C">
            <wp:extent cx="2295525" cy="1924050"/>
            <wp:effectExtent l="0" t="0" r="9525" b="0"/>
            <wp:docPr id="700359738" name="グラフィックス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756905" name="Graphic 1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5449" r="59455" b="48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4168C" w:rsidRPr="00B416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F3DE6" w14:textId="77777777" w:rsidR="0011596A" w:rsidRDefault="0011596A" w:rsidP="00855D7A">
      <w:r>
        <w:separator/>
      </w:r>
    </w:p>
  </w:endnote>
  <w:endnote w:type="continuationSeparator" w:id="0">
    <w:p w14:paraId="07153CF1" w14:textId="77777777" w:rsidR="0011596A" w:rsidRDefault="0011596A" w:rsidP="00855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7E2AE" w14:textId="77777777" w:rsidR="0011596A" w:rsidRDefault="0011596A" w:rsidP="00855D7A">
      <w:r>
        <w:separator/>
      </w:r>
    </w:p>
  </w:footnote>
  <w:footnote w:type="continuationSeparator" w:id="0">
    <w:p w14:paraId="2936A985" w14:textId="77777777" w:rsidR="0011596A" w:rsidRDefault="0011596A" w:rsidP="00855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F5"/>
    <w:rsid w:val="000A4BEA"/>
    <w:rsid w:val="0011596A"/>
    <w:rsid w:val="001843AB"/>
    <w:rsid w:val="00272F0C"/>
    <w:rsid w:val="002D56A6"/>
    <w:rsid w:val="002F2082"/>
    <w:rsid w:val="003B2453"/>
    <w:rsid w:val="0060266D"/>
    <w:rsid w:val="00730ECD"/>
    <w:rsid w:val="00855D7A"/>
    <w:rsid w:val="00873951"/>
    <w:rsid w:val="00AE648C"/>
    <w:rsid w:val="00B4168C"/>
    <w:rsid w:val="00B552F5"/>
    <w:rsid w:val="00B80FF7"/>
    <w:rsid w:val="00C038DF"/>
    <w:rsid w:val="00C57DF6"/>
    <w:rsid w:val="00C61CC9"/>
    <w:rsid w:val="00D23B88"/>
    <w:rsid w:val="00DC2F7C"/>
    <w:rsid w:val="00E91263"/>
    <w:rsid w:val="00ED77C4"/>
    <w:rsid w:val="00EF66DC"/>
    <w:rsid w:val="00F7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6615BB"/>
  <w15:chartTrackingRefBased/>
  <w15:docId w15:val="{AE81E01A-597B-4DFB-97B7-AFED53609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2F5"/>
    <w:pPr>
      <w:spacing w:after="0" w:line="240" w:lineRule="auto"/>
    </w:pPr>
    <w:rPr>
      <w:rFonts w:ascii="ＭＳ Ｐゴシック" w:eastAsia="ＭＳ Ｐゴシック" w:hAnsi="ＭＳ Ｐゴシック" w:cs="ＭＳ Ｐゴシック"/>
      <w:szCs w:val="22"/>
      <w:lang w:eastAsia="ja-JP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52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5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52F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52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52F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52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52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52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52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552F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B552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B552F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B552F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B552F5"/>
    <w:rPr>
      <w:rFonts w:eastAsiaTheme="majorEastAsia" w:cstheme="majorBidi"/>
      <w:color w:val="2E74B5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B552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B552F5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B552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B552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52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55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52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55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52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552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52F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552F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552F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552F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552F5"/>
    <w:rPr>
      <w:b/>
      <w:bCs/>
      <w:smallCaps/>
      <w:color w:val="2E74B5" w:themeColor="accent1" w:themeShade="BF"/>
      <w:spacing w:val="5"/>
    </w:rPr>
  </w:style>
  <w:style w:type="character" w:styleId="aa">
    <w:name w:val="annotation reference"/>
    <w:basedOn w:val="a0"/>
    <w:uiPriority w:val="99"/>
    <w:rsid w:val="00B552F5"/>
    <w:rPr>
      <w:sz w:val="16"/>
    </w:rPr>
  </w:style>
  <w:style w:type="paragraph" w:styleId="ab">
    <w:name w:val="annotation text"/>
    <w:basedOn w:val="a"/>
    <w:link w:val="ac"/>
    <w:uiPriority w:val="99"/>
    <w:rsid w:val="00B552F5"/>
    <w:rPr>
      <w:sz w:val="20"/>
    </w:rPr>
  </w:style>
  <w:style w:type="character" w:customStyle="1" w:styleId="ac">
    <w:name w:val="コメント文字列 (文字)"/>
    <w:basedOn w:val="a0"/>
    <w:link w:val="ab"/>
    <w:uiPriority w:val="99"/>
    <w:rsid w:val="00B552F5"/>
    <w:rPr>
      <w:rFonts w:ascii="ＭＳ Ｐゴシック" w:eastAsia="ＭＳ Ｐゴシック" w:hAnsi="ＭＳ Ｐゴシック" w:cs="ＭＳ Ｐゴシック"/>
      <w:sz w:val="20"/>
      <w:szCs w:val="22"/>
      <w:lang w:eastAsia="ja-JP"/>
      <w14:ligatures w14:val="none"/>
    </w:rPr>
  </w:style>
  <w:style w:type="character" w:styleId="ad">
    <w:name w:val="Hyperlink"/>
    <w:basedOn w:val="a0"/>
    <w:uiPriority w:val="99"/>
    <w:unhideWhenUsed/>
    <w:rsid w:val="00B552F5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552F5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855D7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855D7A"/>
    <w:rPr>
      <w:rFonts w:ascii="ＭＳ Ｐゴシック" w:eastAsia="ＭＳ Ｐゴシック" w:hAnsi="ＭＳ Ｐゴシック" w:cs="ＭＳ Ｐゴシック"/>
      <w:szCs w:val="22"/>
      <w:lang w:eastAsia="ja-JP"/>
      <w14:ligatures w14:val="none"/>
    </w:rPr>
  </w:style>
  <w:style w:type="paragraph" w:styleId="af1">
    <w:name w:val="footer"/>
    <w:basedOn w:val="a"/>
    <w:link w:val="af2"/>
    <w:uiPriority w:val="99"/>
    <w:unhideWhenUsed/>
    <w:rsid w:val="00855D7A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855D7A"/>
    <w:rPr>
      <w:rFonts w:ascii="ＭＳ Ｐゴシック" w:eastAsia="ＭＳ Ｐゴシック" w:hAnsi="ＭＳ Ｐゴシック" w:cs="ＭＳ Ｐゴシック"/>
      <w:szCs w:val="22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上田　直久</cp:lastModifiedBy>
  <cp:revision>2</cp:revision>
  <dcterms:created xsi:type="dcterms:W3CDTF">2026-06-03T12:23:00Z</dcterms:created>
  <dcterms:modified xsi:type="dcterms:W3CDTF">2026-06-03T12:23:00Z</dcterms:modified>
</cp:coreProperties>
</file>