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60"/>
      </w:pPr>
      <w:r>
        <w:rPr>
          <w:rFonts w:ascii="Times New Roman" w:hAnsi="Times New Roman"/>
          <w:b/>
          <w:sz w:val="28"/>
        </w:rPr>
        <w:t>Supplementary Table S2. Per-Vessel Discrimination of the Reversible Defect Rate: DeLong Paired ROC Test, Bootstrap, and Operating Points (≥ 70% threshold)</w:t>
      </w:r>
    </w:p>
    <w:p>
      <w:pPr>
        <w:spacing w:before="200" w:after="80"/>
      </w:pPr>
      <w:r>
        <w:rPr>
          <w:rFonts w:ascii="Times New Roman" w:hAnsi="Times New Roman"/>
          <w:b/>
          <w:sz w:val="24"/>
        </w:rPr>
        <w:t>A. ROC discrimination (pooled, n = 185 vessels)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>
              <w:rPr>
                <w:b/>
              </w:rPr>
            </w:r>
            <w:r>
              <w:rPr>
                <w:rFonts w:ascii="Times New Roman" w:hAnsi="Times New Roman"/>
                <w:b/>
                <w:i w:val="0"/>
                <w:sz w:val="20"/>
              </w:rPr>
              <w:t>Quantity</w:t>
            </w:r>
          </w:p>
        </w:tc>
        <w:tc>
          <w:tcPr>
            <w:tcW w:type="dxa" w:w="3120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>
              <w:rPr>
                <w:b/>
              </w:rPr>
            </w:r>
            <w:r>
              <w:rPr>
                <w:rFonts w:ascii="Times New Roman" w:hAnsi="Times New Roman"/>
                <w:b/>
                <w:i w:val="0"/>
                <w:sz w:val="20"/>
              </w:rPr>
              <w:t>AUC / ΔAUC</w:t>
            </w:r>
          </w:p>
        </w:tc>
        <w:tc>
          <w:tcPr>
            <w:tcW w:type="dxa" w:w="3120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>
              <w:rPr>
                <w:b/>
              </w:rPr>
            </w:r>
            <w:r>
              <w:rPr>
                <w:rFonts w:ascii="Times New Roman" w:hAnsi="Times New Roman"/>
                <w:b/>
                <w:i w:val="0"/>
                <w:sz w:val="20"/>
              </w:rPr>
              <w:t>95% CI</w:t>
            </w:r>
          </w:p>
        </w:tc>
      </w:tr>
      <w:tr>
        <w:tc>
          <w:tcPr>
            <w:tcW w:type="dxa" w:w="3120"/>
          </w:tcPr>
          <w:p>
            <w:pPr>
              <w:spacing w:before="40" w:after="40" w:line="276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AUC CTAC</w:t>
            </w:r>
          </w:p>
        </w:tc>
        <w:tc>
          <w:tcPr>
            <w:tcW w:type="dxa" w:w="3120"/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0.717</w:t>
            </w:r>
          </w:p>
        </w:tc>
        <w:tc>
          <w:tcPr>
            <w:tcW w:type="dxa" w:w="3120"/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—</w:t>
            </w:r>
          </w:p>
        </w:tc>
      </w:tr>
      <w:tr>
        <w:tc>
          <w:tcPr>
            <w:tcW w:type="dxa" w:w="3120"/>
          </w:tcPr>
          <w:p>
            <w:pPr>
              <w:spacing w:before="40" w:after="40" w:line="276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AUC NAC</w:t>
            </w:r>
          </w:p>
        </w:tc>
        <w:tc>
          <w:tcPr>
            <w:tcW w:type="dxa" w:w="3120"/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0.614</w:t>
            </w:r>
          </w:p>
        </w:tc>
        <w:tc>
          <w:tcPr>
            <w:tcW w:type="dxa" w:w="3120"/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—</w:t>
            </w:r>
          </w:p>
        </w:tc>
      </w:tr>
      <w:tr>
        <w:tc>
          <w:tcPr>
            <w:tcW w:type="dxa" w:w="3120"/>
          </w:tcPr>
          <w:p>
            <w:pPr>
              <w:spacing w:before="40" w:after="40" w:line="276" w:lineRule="auto"/>
              <w:jc w:val="left"/>
            </w:pPr>
            <w:r>
              <w:rPr>
                <w:b/>
              </w:rPr>
            </w:r>
            <w:r>
              <w:rPr>
                <w:rFonts w:ascii="Times New Roman" w:hAnsi="Times New Roman"/>
                <w:b/>
                <w:i w:val="0"/>
                <w:sz w:val="20"/>
              </w:rPr>
              <w:t>ΔAUC (CTAC − NAC), analytic (Sun–Xu DeLong)</w:t>
            </w:r>
          </w:p>
        </w:tc>
        <w:tc>
          <w:tcPr>
            <w:tcW w:type="dxa" w:w="3120"/>
          </w:tcPr>
          <w:p>
            <w:pPr>
              <w:spacing w:before="40" w:after="40" w:line="276" w:lineRule="auto"/>
              <w:jc w:val="center"/>
            </w:pPr>
            <w:r>
              <w:rPr>
                <w:b/>
              </w:rPr>
            </w:r>
            <w:r>
              <w:rPr>
                <w:rFonts w:ascii="Times New Roman" w:hAnsi="Times New Roman"/>
                <w:b/>
                <w:i w:val="0"/>
                <w:sz w:val="20"/>
              </w:rPr>
              <w:t>+0.103</w:t>
            </w:r>
          </w:p>
        </w:tc>
        <w:tc>
          <w:tcPr>
            <w:tcW w:type="dxa" w:w="3120"/>
          </w:tcPr>
          <w:p>
            <w:pPr>
              <w:spacing w:before="40" w:after="40" w:line="276" w:lineRule="auto"/>
              <w:jc w:val="center"/>
            </w:pPr>
            <w:r>
              <w:rPr>
                <w:b/>
              </w:rPr>
            </w:r>
            <w:r>
              <w:rPr>
                <w:rFonts w:ascii="Times New Roman" w:hAnsi="Times New Roman"/>
                <w:b/>
                <w:i w:val="0"/>
                <w:sz w:val="20"/>
              </w:rPr>
              <w:t>+0.019 to +0.188</w:t>
            </w:r>
          </w:p>
        </w:tc>
      </w:tr>
      <w:tr>
        <w:tc>
          <w:tcPr>
            <w:tcW w:type="dxa" w:w="3120"/>
            <w:tcBorders>
              <w:bottom w:val="single" w:sz="4" w:space="0" w:color="000000"/>
            </w:tcBorders>
          </w:tcPr>
          <w:p>
            <w:pPr>
              <w:spacing w:before="40" w:after="40" w:line="276" w:lineRule="auto"/>
              <w:jc w:val="left"/>
            </w:pPr>
            <w:r>
              <w:rPr>
                <w:b/>
              </w:rPr>
            </w:r>
            <w:r>
              <w:rPr>
                <w:rFonts w:ascii="Times New Roman" w:hAnsi="Times New Roman"/>
                <w:b/>
                <w:i w:val="0"/>
                <w:sz w:val="20"/>
              </w:rPr>
              <w:t>ΔAUC (CTAC − NAC), patient-cluster bootstrap (n_boot = 1000, 48 clusters)</w:t>
            </w:r>
          </w:p>
        </w:tc>
        <w:tc>
          <w:tcPr>
            <w:tcW w:type="dxa" w:w="3120"/>
            <w:tcBorders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>
              <w:rPr>
                <w:b/>
              </w:rPr>
            </w:r>
            <w:r>
              <w:rPr>
                <w:rFonts w:ascii="Times New Roman" w:hAnsi="Times New Roman"/>
                <w:b/>
                <w:i w:val="0"/>
                <w:sz w:val="20"/>
              </w:rPr>
              <w:t>+0.103</w:t>
            </w:r>
          </w:p>
        </w:tc>
        <w:tc>
          <w:tcPr>
            <w:tcW w:type="dxa" w:w="3120"/>
            <w:tcBorders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>
              <w:rPr>
                <w:b/>
              </w:rPr>
            </w:r>
            <w:r>
              <w:rPr>
                <w:rFonts w:ascii="Times New Roman" w:hAnsi="Times New Roman"/>
                <w:b/>
                <w:i w:val="0"/>
                <w:sz w:val="20"/>
              </w:rPr>
              <w:t>+0.030 to +0.167</w:t>
            </w:r>
          </w:p>
        </w:tc>
      </w:tr>
    </w:tbl>
    <w:p/>
    <w:p>
      <w:pPr>
        <w:spacing w:after="120" w:line="312" w:lineRule="auto"/>
      </w:pPr>
      <w:r>
        <w:rPr>
          <w:rFonts w:ascii="Times New Roman" w:hAnsi="Times New Roman"/>
          <w:b w:val="0"/>
          <w:i w:val="0"/>
          <w:sz w:val="22"/>
        </w:rPr>
        <w:t>Analytic DeLong test: z = 2.40; P = 0.0164. Patient-cluster bootstrap (resampling 48 patient clusters with replacement; vessels nested within patient; random seed 20260418): two-sided percentile P = 0.010. Within-patient label-permutation test (5,000 permutations swapping the CTAC and NAC predictors within each patient under the null of modality exchangeability): two-sided P = 0.0474. The predictor is the continuous reversible defect rate (territory stress − rest % defect, where the % defect is graded per segment in 25% increments and averaged across the territory's segments). The analytic DeLong test treats vessels as independent; the patient-cluster bootstrap accounts for within-patient correlation across territories. The discrimination advantage of CTAC over NAC is significant by all three tests: the DeLong test (P = 0.0164), the patient-cluster bootstrap (P = 0.010), and the most conservative within-patient permutation test (P = 0.0474).</w:t>
      </w:r>
    </w:p>
    <w:p>
      <w:pPr>
        <w:spacing w:before="200" w:after="80"/>
      </w:pPr>
      <w:r>
        <w:rPr>
          <w:rFonts w:ascii="Times New Roman" w:hAnsi="Times New Roman"/>
          <w:b/>
          <w:sz w:val="24"/>
        </w:rPr>
        <w:t>B. Operating points (Youden-optimal)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>
              <w:rPr>
                <w:b/>
              </w:rPr>
            </w:r>
            <w:r>
              <w:rPr>
                <w:rFonts w:ascii="Times New Roman" w:hAnsi="Times New Roman"/>
                <w:b/>
                <w:i w:val="0"/>
                <w:sz w:val="20"/>
              </w:rPr>
              <w:t>Reconstruction</w:t>
            </w:r>
          </w:p>
        </w:tc>
        <w:tc>
          <w:tcPr>
            <w:tcW w:type="dxa" w:w="2340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>
              <w:rPr>
                <w:b/>
              </w:rPr>
            </w:r>
            <w:r>
              <w:rPr>
                <w:rFonts w:ascii="Times New Roman" w:hAnsi="Times New Roman"/>
                <w:b/>
                <w:i w:val="0"/>
                <w:sz w:val="20"/>
              </w:rPr>
              <w:t>Cutoff (reversible defect rate, %)</w:t>
            </w:r>
          </w:p>
        </w:tc>
        <w:tc>
          <w:tcPr>
            <w:tcW w:type="dxa" w:w="2340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>
              <w:rPr>
                <w:b/>
              </w:rPr>
            </w:r>
            <w:r>
              <w:rPr>
                <w:rFonts w:ascii="Times New Roman" w:hAnsi="Times New Roman"/>
                <w:b/>
                <w:i w:val="0"/>
                <w:sz w:val="20"/>
              </w:rPr>
              <w:t>Sensitivity (95% CI)</w:t>
            </w:r>
          </w:p>
        </w:tc>
        <w:tc>
          <w:tcPr>
            <w:tcW w:type="dxa" w:w="2340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>
              <w:rPr>
                <w:b/>
              </w:rPr>
            </w:r>
            <w:r>
              <w:rPr>
                <w:rFonts w:ascii="Times New Roman" w:hAnsi="Times New Roman"/>
                <w:b/>
                <w:i w:val="0"/>
                <w:sz w:val="20"/>
              </w:rPr>
              <w:t>Specificity (95% CI)</w:t>
            </w:r>
          </w:p>
        </w:tc>
      </w:tr>
      <w:tr>
        <w:tc>
          <w:tcPr>
            <w:tcW w:type="dxa" w:w="2340"/>
          </w:tcPr>
          <w:p>
            <w:pPr>
              <w:spacing w:before="40" w:after="40" w:line="276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CTAC</w:t>
            </w:r>
          </w:p>
        </w:tc>
        <w:tc>
          <w:tcPr>
            <w:tcW w:type="dxa" w:w="2340"/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5.6</w:t>
            </w:r>
          </w:p>
        </w:tc>
        <w:tc>
          <w:tcPr>
            <w:tcW w:type="dxa" w:w="2340"/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75.5% (61.7–86.2)</w:t>
            </w:r>
          </w:p>
        </w:tc>
        <w:tc>
          <w:tcPr>
            <w:tcW w:type="dxa" w:w="2340"/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64.4% (55.6–72.5)</w:t>
            </w:r>
          </w:p>
        </w:tc>
      </w:tr>
      <w:tr>
        <w:tc>
          <w:tcPr>
            <w:tcW w:type="dxa" w:w="2340"/>
            <w:tcBorders>
              <w:bottom w:val="single" w:sz="4" w:space="0" w:color="000000"/>
            </w:tcBorders>
          </w:tcPr>
          <w:p>
            <w:pPr>
              <w:spacing w:before="40" w:after="40" w:line="276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NAC</w:t>
            </w:r>
          </w:p>
        </w:tc>
        <w:tc>
          <w:tcPr>
            <w:tcW w:type="dxa" w:w="2340"/>
            <w:tcBorders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2.8</w:t>
            </w:r>
          </w:p>
        </w:tc>
        <w:tc>
          <w:tcPr>
            <w:tcW w:type="dxa" w:w="2340"/>
            <w:tcBorders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52.8% (38.6–66.7)</w:t>
            </w:r>
          </w:p>
        </w:tc>
        <w:tc>
          <w:tcPr>
            <w:tcW w:type="dxa" w:w="2340"/>
            <w:tcBorders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68.9% (60.3–76.7)</w:t>
            </w:r>
          </w:p>
        </w:tc>
      </w:tr>
    </w:tbl>
    <w:p/>
    <w:p>
      <w:pPr>
        <w:spacing w:after="120" w:line="312" w:lineRule="auto"/>
      </w:pPr>
      <w:r>
        <w:rPr>
          <w:rFonts w:ascii="Times New Roman" w:hAnsi="Times New Roman"/>
          <w:b w:val="0"/>
          <w:i w:val="0"/>
          <w:sz w:val="22"/>
        </w:rPr>
        <w:t>Sensitivity and specificity are reported at each curve's Youden-optimal cutpoint (maximizing sensitivity + specificity − 1); these in-sample operating characteristics are optimistic and require external validation. Exact (Clopper–Pearson) 95% CIs. The per-vessel denominator is 185 = (48 patients × 4 territories) − 7 anatomically absent RCA territories in LCX-dominant patients with a hypoplastic RCA.</w:t>
      </w:r>
    </w:p>
    <w:p>
      <w:pPr>
        <w:spacing w:after="120" w:line="312" w:lineRule="auto"/>
      </w:pPr>
      <w:r>
        <w:rPr>
          <w:rFonts w:ascii="Times New Roman" w:hAnsi="Times New Roman"/>
          <w:b w:val="0"/>
          <w:i w:val="0"/>
          <w:sz w:val="22"/>
        </w:rPr>
        <w:t>AUC = area under the curve; CI = confidence interval; CTAC = CT attenuation correction; NAC = non-attenuation correction; ROC = receiver operating characteristic.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