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</w:pPr>
      <w:r>
        <w:rPr>
          <w:rFonts w:ascii="Times New Roman" w:hAnsi="Times New Roman"/>
          <w:b/>
          <w:sz w:val="28"/>
        </w:rPr>
        <w:t>Supplementary Table S1. Per-Territory Discrimination (AUC) of the Reversible Defect Rate at the ≥ 70% Stenosis Threshold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Territory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Vessels (n)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CAD+ (n)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AUC CTAC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AUC NAC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ΔAUC</w:t>
            </w:r>
          </w:p>
        </w:tc>
        <w:tc>
          <w:tcPr>
            <w:tcW w:type="dxa" w:w="133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DeLong P</w:t>
            </w:r>
          </w:p>
        </w:tc>
      </w:tr>
      <w:tr>
        <w:tc>
          <w:tcPr>
            <w:tcW w:type="dxa" w:w="1337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LAD (incl. Dx)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48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15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0.607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0.571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0.036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0.630</w:t>
            </w:r>
          </w:p>
        </w:tc>
      </w:tr>
      <w:tr>
        <w:tc>
          <w:tcPr>
            <w:tcW w:type="dxa" w:w="1337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Dx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48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0.639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0.527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0.112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0.228</w:t>
            </w:r>
          </w:p>
        </w:tc>
      </w:tr>
      <w:tr>
        <w:tc>
          <w:tcPr>
            <w:tcW w:type="dxa" w:w="1337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LCX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48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17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0.803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0.658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0.144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0.043</w:t>
            </w:r>
          </w:p>
        </w:tc>
      </w:tr>
      <w:tr>
        <w:tc>
          <w:tcPr>
            <w:tcW w:type="dxa" w:w="1337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RCA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41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0.816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0.656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0.160</w:t>
            </w:r>
          </w:p>
        </w:tc>
        <w:tc>
          <w:tcPr>
            <w:tcW w:type="dxa" w:w="1337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0.147</w:t>
            </w:r>
          </w:p>
        </w:tc>
      </w:tr>
      <w:tr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Overall (pooled)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185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53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0.717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0.614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0.103</w:t>
            </w:r>
          </w:p>
        </w:tc>
        <w:tc>
          <w:tcPr>
            <w:tcW w:type="dxa" w:w="1337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0.0164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AUC = area under the receiver-operating-characteristic curve of the continuous reversible defect rate (territory stress − rest % defect, where the % defect is graded per segment in 25% increments and averaged across the territory's segments) against the ≥ 70% angiographic reference. ΔAUC = CTAC − NAC, compared by the paired DeLong test (Sun–Xu method). For the pooled analysis the ΔAUC 95% CI was 0.019 to 0.188 (analytic) and 0.030 to 0.167 by a 1,000-iteration patient-cluster bootstrap (P = 0.010). At the Youden-optimal operating point the pooled sensitivity/specificity were 75.5% (95% CI 61.7–86.2) / 64.4% (55.6–72.5) for CTAC and 52.8% (38.6–66.7) / 68.9% (60.3–76.7) for NAC. The per-vessel denominator is 185 = (48 patients × 4 territories) − 7 anatomically absent RCA territories in patients with LCX-dominant coronary anatomy and a hypoplastic RCA. Each segment was assigned to its coronary territory on a per-patient basis from the CCTA coronary course; the LAD territory comprises the LAD-proper and diagonal (Dx) segments, and the separate Dx row is the diagonal subset. Bold P values indicate statistical significance (P &lt; 0.05).</w:t>
      </w:r>
    </w:p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AUC = area under the curve; CAD = coronary artery disease; CCTA = coronary CT angiography; CTAC = CT attenuation correction; Dx = diagonal branch; LAD = left anterior descending artery; LCX = left circumflex artery; NAC = non-attenuation correction; RCA = right coronary artery.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