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60"/>
      </w:pPr>
      <w:r>
        <w:rPr>
          <w:rFonts w:ascii="Times New Roman" w:hAnsi="Times New Roman"/>
          <w:b/>
          <w:sz w:val="28"/>
        </w:rPr>
        <w:t>Supplementary Table S3. Post-Hoc Evaluation of Combined NAC + CTAC Reading Strategies (≥ 70% threshold)</w:t>
      </w:r>
    </w:p>
    <w:p>
      <w:pPr>
        <w:spacing w:after="120" w:line="312" w:lineRule="auto"/>
      </w:pPr>
      <w:r>
        <w:rPr>
          <w:rFonts w:ascii="Times New Roman" w:hAnsi="Times New Roman"/>
          <w:b w:val="0"/>
          <w:i w:val="0"/>
          <w:sz w:val="22"/>
        </w:rPr>
        <w:t>Reading strategies were compared on the same per-vessel dataset used for the primary analysis, dichotomizing each reconstruction's continuous reversible defect rate at its Youden-optimal cutoff (CTAC ≥ 5.6%, NAC ≥ 2.8%). These dichotomized analyses are exploratory and, because the cutoffs are data-derived, in-sample optimistic.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Strategy</w:t>
            </w:r>
          </w:p>
        </w:tc>
        <w:tc>
          <w:tcPr>
            <w:tcW w:type="dxa" w:w="4680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Definition</w:t>
            </w:r>
          </w:p>
        </w:tc>
      </w:tr>
      <w:tr>
        <w:tc>
          <w:tcPr>
            <w:tcW w:type="dxa" w:w="4680"/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NAC alone</w:t>
            </w:r>
          </w:p>
        </w:tc>
        <w:tc>
          <w:tcPr>
            <w:tcW w:type="dxa" w:w="4680"/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Non-attenuation-corrected reading only</w:t>
            </w:r>
          </w:p>
        </w:tc>
      </w:tr>
      <w:tr>
        <w:tc>
          <w:tcPr>
            <w:tcW w:type="dxa" w:w="4680"/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CTAC alone</w:t>
            </w:r>
          </w:p>
        </w:tc>
        <w:tc>
          <w:tcPr>
            <w:tcW w:type="dxa" w:w="4680"/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CT attenuation-corrected reading only</w:t>
            </w:r>
          </w:p>
        </w:tc>
      </w:tr>
      <w:tr>
        <w:tc>
          <w:tcPr>
            <w:tcW w:type="dxa" w:w="4680"/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OR (parallel)</w:t>
            </w:r>
          </w:p>
        </w:tc>
        <w:tc>
          <w:tcPr>
            <w:tcW w:type="dxa" w:w="4680"/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Positive if either NAC or CTAC is positive</w:t>
            </w:r>
          </w:p>
        </w:tc>
      </w:tr>
      <w:tr>
        <w:tc>
          <w:tcPr>
            <w:tcW w:type="dxa" w:w="4680"/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AND (serial)</w:t>
            </w:r>
          </w:p>
        </w:tc>
        <w:tc>
          <w:tcPr>
            <w:tcW w:type="dxa" w:w="4680"/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Positive only if both NAC and CTAC are positive</w:t>
            </w:r>
          </w:p>
        </w:tc>
      </w:tr>
      <w:tr>
        <w:tc>
          <w:tcPr>
            <w:tcW w:type="dxa" w:w="4680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Concordant-only</w:t>
            </w:r>
          </w:p>
        </w:tc>
        <w:tc>
          <w:tcPr>
            <w:tcW w:type="dxa" w:w="4680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Restricted to vessels with matching NAC and CTAC calls</w:t>
            </w:r>
          </w:p>
        </w:tc>
      </w:tr>
    </w:tbl>
    <w:p/>
    <w:p>
      <w:pPr>
        <w:spacing w:before="200" w:after="80"/>
      </w:pPr>
      <w:r>
        <w:rPr>
          <w:rFonts w:ascii="Times New Roman" w:hAnsi="Times New Roman"/>
          <w:b/>
          <w:sz w:val="24"/>
        </w:rPr>
        <w:t>A. Diagnostic performance (n = 185 vessels; 40 discordant, 21.6%)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>
        <w:tc>
          <w:tcPr>
            <w:tcW w:type="dxa" w:w="93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Strategy</w:t>
            </w:r>
          </w:p>
        </w:tc>
        <w:tc>
          <w:tcPr>
            <w:tcW w:type="dxa" w:w="93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TP</w:t>
            </w:r>
          </w:p>
        </w:tc>
        <w:tc>
          <w:tcPr>
            <w:tcW w:type="dxa" w:w="93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FN</w:t>
            </w:r>
          </w:p>
        </w:tc>
        <w:tc>
          <w:tcPr>
            <w:tcW w:type="dxa" w:w="93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FP</w:t>
            </w:r>
          </w:p>
        </w:tc>
        <w:tc>
          <w:tcPr>
            <w:tcW w:type="dxa" w:w="93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TN</w:t>
            </w:r>
          </w:p>
        </w:tc>
        <w:tc>
          <w:tcPr>
            <w:tcW w:type="dxa" w:w="93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Sensitivity (95% CI)</w:t>
            </w:r>
          </w:p>
        </w:tc>
        <w:tc>
          <w:tcPr>
            <w:tcW w:type="dxa" w:w="93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Specificity (95% CI)</w:t>
            </w:r>
          </w:p>
        </w:tc>
        <w:tc>
          <w:tcPr>
            <w:tcW w:type="dxa" w:w="93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PPV</w:t>
            </w:r>
          </w:p>
        </w:tc>
        <w:tc>
          <w:tcPr>
            <w:tcW w:type="dxa" w:w="93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NPV</w:t>
            </w:r>
          </w:p>
        </w:tc>
        <w:tc>
          <w:tcPr>
            <w:tcW w:type="dxa" w:w="93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Accuracy</w:t>
            </w:r>
          </w:p>
        </w:tc>
      </w:tr>
      <w:tr>
        <w:tc>
          <w:tcPr>
            <w:tcW w:type="dxa" w:w="936"/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NAC alone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28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25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41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91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52.8% (38.6–66.7)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68.9% (60.3–76.7)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40.6%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78.4%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64.3%</w:t>
            </w:r>
          </w:p>
        </w:tc>
      </w:tr>
      <w:tr>
        <w:tc>
          <w:tcPr>
            <w:tcW w:type="dxa" w:w="936"/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CTAC alone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40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13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47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85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75.5% (61.7–86.2)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64.4% (55.6–72.5)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46.0%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86.7%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67.6%</w:t>
            </w:r>
          </w:p>
        </w:tc>
      </w:tr>
      <w:tr>
        <w:tc>
          <w:tcPr>
            <w:tcW w:type="dxa" w:w="936"/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OR (parallel)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42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11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56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76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79.2% (65.9–89.2)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57.6% (48.7–66.1)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42.9%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87.4%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63.8%</w:t>
            </w:r>
          </w:p>
        </w:tc>
      </w:tr>
      <w:tr>
        <w:tc>
          <w:tcPr>
            <w:tcW w:type="dxa" w:w="936"/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AND (serial)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26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27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32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100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49.1% (35.1–63.2)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75.8% (67.5–82.8)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44.8%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78.7%</w:t>
            </w:r>
          </w:p>
        </w:tc>
        <w:tc>
          <w:tcPr>
            <w:tcW w:type="dxa" w:w="936"/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68.1%</w:t>
            </w:r>
          </w:p>
        </w:tc>
      </w:tr>
      <w:tr>
        <w:tc>
          <w:tcPr>
            <w:tcW w:type="dxa" w:w="936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Concordant-only</w:t>
            </w:r>
          </w:p>
        </w:tc>
        <w:tc>
          <w:tcPr>
            <w:tcW w:type="dxa" w:w="936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26</w:t>
            </w:r>
          </w:p>
        </w:tc>
        <w:tc>
          <w:tcPr>
            <w:tcW w:type="dxa" w:w="936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11</w:t>
            </w:r>
          </w:p>
        </w:tc>
        <w:tc>
          <w:tcPr>
            <w:tcW w:type="dxa" w:w="936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32</w:t>
            </w:r>
          </w:p>
        </w:tc>
        <w:tc>
          <w:tcPr>
            <w:tcW w:type="dxa" w:w="936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76</w:t>
            </w:r>
          </w:p>
        </w:tc>
        <w:tc>
          <w:tcPr>
            <w:tcW w:type="dxa" w:w="936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70.3% (53.0–84.1)</w:t>
            </w:r>
          </w:p>
        </w:tc>
        <w:tc>
          <w:tcPr>
            <w:tcW w:type="dxa" w:w="936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70.4% (60.8–78.8)</w:t>
            </w:r>
          </w:p>
        </w:tc>
        <w:tc>
          <w:tcPr>
            <w:tcW w:type="dxa" w:w="936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44.8%</w:t>
            </w:r>
          </w:p>
        </w:tc>
        <w:tc>
          <w:tcPr>
            <w:tcW w:type="dxa" w:w="936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87.4%</w:t>
            </w:r>
          </w:p>
        </w:tc>
        <w:tc>
          <w:tcPr>
            <w:tcW w:type="dxa" w:w="936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righ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70.3%</w:t>
            </w:r>
          </w:p>
        </w:tc>
      </w:tr>
    </w:tbl>
    <w:p/>
    <w:p>
      <w:pPr>
        <w:spacing w:after="120" w:line="312" w:lineRule="auto"/>
      </w:pPr>
      <w:r>
        <w:rPr>
          <w:rFonts w:ascii="Times New Roman" w:hAnsi="Times New Roman"/>
          <w:b w:val="0"/>
          <w:i w:val="0"/>
          <w:sz w:val="22"/>
        </w:rPr>
        <w:t>The concordant-only strategy is restricted to the 145 vessels with matching NAC and CTAC calls.</w:t>
      </w:r>
    </w:p>
    <w:p>
      <w:pPr>
        <w:spacing w:before="200" w:after="80"/>
      </w:pPr>
      <w:r>
        <w:rPr>
          <w:rFonts w:ascii="Times New Roman" w:hAnsi="Times New Roman"/>
          <w:b/>
          <w:sz w:val="24"/>
        </w:rPr>
        <w:t>B. Agreement between NAC and CTAC reads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Threshold</w:t>
            </w:r>
          </w:p>
        </w:tc>
        <w:tc>
          <w:tcPr>
            <w:tcW w:type="dxa" w:w="187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Concordant</w:t>
            </w:r>
          </w:p>
        </w:tc>
        <w:tc>
          <w:tcPr>
            <w:tcW w:type="dxa" w:w="187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Discordant</w:t>
            </w:r>
          </w:p>
        </w:tc>
        <w:tc>
          <w:tcPr>
            <w:tcW w:type="dxa" w:w="187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Percent agreement</w:t>
            </w:r>
          </w:p>
        </w:tc>
        <w:tc>
          <w:tcPr>
            <w:tcW w:type="dxa" w:w="187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Cohen κ (95% CI)</w:t>
            </w:r>
          </w:p>
        </w:tc>
      </w:tr>
      <w:tr>
        <w:tc>
          <w:tcPr>
            <w:tcW w:type="dxa" w:w="1872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≥ 70%</w:t>
            </w:r>
          </w:p>
        </w:tc>
        <w:tc>
          <w:tcPr>
            <w:tcW w:type="dxa" w:w="1872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145</w:t>
            </w:r>
          </w:p>
        </w:tc>
        <w:tc>
          <w:tcPr>
            <w:tcW w:type="dxa" w:w="1872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40</w:t>
            </w:r>
          </w:p>
        </w:tc>
        <w:tc>
          <w:tcPr>
            <w:tcW w:type="dxa" w:w="1872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78.4%</w:t>
            </w:r>
          </w:p>
        </w:tc>
        <w:tc>
          <w:tcPr>
            <w:tcW w:type="dxa" w:w="1872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0.561 (0.437–0.667)</w:t>
            </w:r>
          </w:p>
        </w:tc>
      </w:tr>
    </w:tbl>
    <w:p/>
    <w:p>
      <w:pPr>
        <w:spacing w:after="120" w:line="312" w:lineRule="auto"/>
      </w:pPr>
      <w:r>
        <w:rPr>
          <w:rFonts w:ascii="Times New Roman" w:hAnsi="Times New Roman"/>
          <w:b w:val="0"/>
          <w:i w:val="0"/>
          <w:sz w:val="22"/>
        </w:rPr>
        <w:t>The Cohen κ 95% CI was derived from a 1,000-iteration patient-cluster bootstrap (random seed 20260418), which respects within-patient correlation across the four vessel territories. The lower bound exceeds zero, supporting moderate between-reconstruction agreement of the dichotomized reads.</w:t>
      </w:r>
    </w:p>
    <w:p>
      <w:pPr>
        <w:spacing w:before="200" w:after="80"/>
      </w:pPr>
      <w:r>
        <w:rPr>
          <w:rFonts w:ascii="Times New Roman" w:hAnsi="Times New Roman"/>
          <w:b/>
          <w:sz w:val="24"/>
        </w:rPr>
        <w:t>C. Pairwise McNemar comparisons (paired classifications)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Comparison</w:t>
            </w:r>
          </w:p>
        </w:tc>
        <w:tc>
          <w:tcPr>
            <w:tcW w:type="dxa" w:w="187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b (A−, B+)</w:t>
            </w:r>
          </w:p>
        </w:tc>
        <w:tc>
          <w:tcPr>
            <w:tcW w:type="dxa" w:w="187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c (A+, B−)</w:t>
            </w:r>
          </w:p>
        </w:tc>
        <w:tc>
          <w:tcPr>
            <w:tcW w:type="dxa" w:w="187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P value</w:t>
            </w:r>
          </w:p>
        </w:tc>
        <w:tc>
          <w:tcPr>
            <w:tcW w:type="dxa" w:w="187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>
              <w:rPr>
                <w:b/>
              </w:rPr>
            </w:r>
            <w:r>
              <w:rPr>
                <w:rFonts w:ascii="Times New Roman" w:hAnsi="Times New Roman"/>
                <w:b/>
                <w:i w:val="0"/>
                <w:sz w:val="20"/>
              </w:rPr>
              <w:t>Method</w:t>
            </w:r>
          </w:p>
        </w:tc>
      </w:tr>
      <w:tr>
        <w:tc>
          <w:tcPr>
            <w:tcW w:type="dxa" w:w="1872"/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OR vs CTAC</w:t>
            </w:r>
          </w:p>
        </w:tc>
        <w:tc>
          <w:tcPr>
            <w:tcW w:type="dxa" w:w="1872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type="dxa" w:w="1872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11</w:t>
            </w:r>
          </w:p>
        </w:tc>
        <w:tc>
          <w:tcPr>
            <w:tcW w:type="dxa" w:w="1872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0.001</w:t>
            </w:r>
          </w:p>
        </w:tc>
        <w:tc>
          <w:tcPr>
            <w:tcW w:type="dxa" w:w="1872"/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Exact binomial</w:t>
            </w:r>
          </w:p>
        </w:tc>
      </w:tr>
      <w:tr>
        <w:tc>
          <w:tcPr>
            <w:tcW w:type="dxa" w:w="1872"/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AND vs CTAC</w:t>
            </w:r>
          </w:p>
        </w:tc>
        <w:tc>
          <w:tcPr>
            <w:tcW w:type="dxa" w:w="1872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29</w:t>
            </w:r>
          </w:p>
        </w:tc>
        <w:tc>
          <w:tcPr>
            <w:tcW w:type="dxa" w:w="1872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type="dxa" w:w="1872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&lt; 0.0001</w:t>
            </w:r>
          </w:p>
        </w:tc>
        <w:tc>
          <w:tcPr>
            <w:tcW w:type="dxa" w:w="1872"/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Continuity-corrected χ²</w:t>
            </w:r>
          </w:p>
        </w:tc>
      </w:tr>
      <w:tr>
        <w:tc>
          <w:tcPr>
            <w:tcW w:type="dxa" w:w="1872"/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OR vs NAC</w:t>
            </w:r>
          </w:p>
        </w:tc>
        <w:tc>
          <w:tcPr>
            <w:tcW w:type="dxa" w:w="1872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type="dxa" w:w="1872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29</w:t>
            </w:r>
          </w:p>
        </w:tc>
        <w:tc>
          <w:tcPr>
            <w:tcW w:type="dxa" w:w="1872"/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&lt; 0.0001</w:t>
            </w:r>
          </w:p>
        </w:tc>
        <w:tc>
          <w:tcPr>
            <w:tcW w:type="dxa" w:w="1872"/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Continuity-corrected χ²</w:t>
            </w:r>
          </w:p>
        </w:tc>
      </w:tr>
      <w:tr>
        <w:tc>
          <w:tcPr>
            <w:tcW w:type="dxa" w:w="1872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AND vs NAC</w:t>
            </w:r>
          </w:p>
        </w:tc>
        <w:tc>
          <w:tcPr>
            <w:tcW w:type="dxa" w:w="1872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11</w:t>
            </w:r>
          </w:p>
        </w:tc>
        <w:tc>
          <w:tcPr>
            <w:tcW w:type="dxa" w:w="1872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  <w:tc>
          <w:tcPr>
            <w:tcW w:type="dxa" w:w="1872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0.001</w:t>
            </w:r>
          </w:p>
        </w:tc>
        <w:tc>
          <w:tcPr>
            <w:tcW w:type="dxa" w:w="1872"/>
            <w:tcBorders>
              <w:bottom w:val="single" w:sz="4" w:space="0" w:color="000000"/>
            </w:tcBorders>
          </w:tcPr>
          <w:p>
            <w:pPr>
              <w:spacing w:before="40" w:after="40" w:line="276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Exact binomial</w:t>
            </w:r>
          </w:p>
        </w:tc>
      </w:tr>
    </w:tbl>
    <w:p/>
    <w:p>
      <w:pPr>
        <w:spacing w:after="120" w:line="312" w:lineRule="auto"/>
      </w:pPr>
      <w:r>
        <w:rPr>
          <w:rFonts w:ascii="Times New Roman" w:hAnsi="Times New Roman"/>
          <w:b w:val="0"/>
          <w:i w:val="0"/>
          <w:sz w:val="22"/>
        </w:rPr>
        <w:t>Neither the parallel OR rule nor the serial AND rule uniformly outperformed CTAC alone. The serial AND rule yielded the highest specificity (75.8%) at the cost of sensitivity, suggesting a potential rule-in adjunct, whereas the parallel OR rule maximized sensitivity (79.2%). The approximately 22% of vessels with discordant NAC and CTAC calls may represent the most clinically uncertain subset, potentially benefiting from adjudication by hybrid cardiac SPECT/CT imaging.</w:t>
      </w:r>
    </w:p>
    <w:p>
      <w:pPr>
        <w:spacing w:after="120" w:line="312" w:lineRule="auto"/>
      </w:pPr>
      <w:r>
        <w:rPr>
          <w:rFonts w:ascii="Times New Roman" w:hAnsi="Times New Roman"/>
          <w:b w:val="0"/>
          <w:i w:val="0"/>
          <w:sz w:val="22"/>
        </w:rPr>
        <w:t>The per-vessel denominator is 185 = 48 patients × 4 territories − 7 anatomically absent RCA territories. The 7 absent territories correspond to the 7 patients with LCX-dominant coronary anatomy and a hypoplastic ("small") RCA, in whom the posterior descending and posterior left-ventricular branches are supplied by the LCX. These patients have no RCA-supplied myocardium to evaluate and are excluded from the analysis.</w:t>
      </w:r>
    </w:p>
    <w:p>
      <w:pPr>
        <w:spacing w:after="120" w:line="312" w:lineRule="auto"/>
      </w:pPr>
      <w:r>
        <w:rPr>
          <w:rFonts w:ascii="Times New Roman" w:hAnsi="Times New Roman"/>
          <w:b w:val="0"/>
          <w:i w:val="0"/>
          <w:sz w:val="22"/>
        </w:rPr>
        <w:t>CTAC = CT attenuation correction; NAC = non-attenuation correction; NPV = negative predictive value; PPV = positive predictive value.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