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1A43" w14:textId="77777777" w:rsidR="00037A3C" w:rsidRPr="00CC44A8" w:rsidRDefault="00CC44A8" w:rsidP="00CC44A8">
      <w:pPr>
        <w:jc w:val="center"/>
        <w:rPr>
          <w:rFonts w:ascii="Times New Roman" w:hAnsi="Times New Roman" w:cs="Times New Roman"/>
          <w:b/>
        </w:rPr>
      </w:pPr>
      <w:r w:rsidRPr="00CC44A8">
        <w:rPr>
          <w:rFonts w:ascii="Times New Roman" w:hAnsi="Times New Roman" w:cs="Times New Roman"/>
          <w:b/>
        </w:rPr>
        <w:t>SUP</w:t>
      </w:r>
      <w:r w:rsidR="002A5A2B">
        <w:rPr>
          <w:rFonts w:ascii="Times New Roman" w:hAnsi="Times New Roman" w:cs="Times New Roman"/>
          <w:b/>
        </w:rPr>
        <w:t>P</w:t>
      </w:r>
      <w:r w:rsidRPr="00CC44A8">
        <w:rPr>
          <w:rFonts w:ascii="Times New Roman" w:hAnsi="Times New Roman" w:cs="Times New Roman"/>
          <w:b/>
        </w:rPr>
        <w:t>LEMENTARY MATERIAL</w:t>
      </w:r>
    </w:p>
    <w:p w14:paraId="5DE81C62" w14:textId="77777777" w:rsidR="001059B4" w:rsidRDefault="001059B4" w:rsidP="2C645778">
      <w:pPr>
        <w:spacing w:line="360" w:lineRule="auto"/>
        <w:rPr>
          <w:rFonts w:ascii="Times New Roman" w:eastAsia="Times New Roman" w:hAnsi="Times New Roman" w:cs="Times New Roman"/>
          <w:color w:val="FF0000"/>
        </w:rPr>
      </w:pPr>
    </w:p>
    <w:p w14:paraId="3169BF07" w14:textId="1BEAB8CC" w:rsidR="7C67DEEF" w:rsidRDefault="7C67DEEF" w:rsidP="0063487F">
      <w:pPr>
        <w:spacing w:line="360" w:lineRule="auto"/>
        <w:rPr>
          <w:rFonts w:ascii="Times New Roman" w:eastAsia="Times New Roman" w:hAnsi="Times New Roman" w:cs="Times New Roman"/>
        </w:rPr>
      </w:pPr>
      <w:r w:rsidRPr="00FE5B87">
        <w:rPr>
          <w:rFonts w:ascii="Times New Roman" w:eastAsia="Times New Roman" w:hAnsi="Times New Roman" w:cs="Times New Roman"/>
        </w:rPr>
        <w:t xml:space="preserve">In Table S1, the statistical tests indicated that the time series were </w:t>
      </w:r>
      <w:r w:rsidR="00FE5B87" w:rsidRPr="00FE5B87">
        <w:rPr>
          <w:rFonts w:ascii="Times New Roman" w:eastAsia="Times New Roman" w:hAnsi="Times New Roman" w:cs="Times New Roman"/>
        </w:rPr>
        <w:t>non-</w:t>
      </w:r>
      <w:r w:rsidRPr="00FE5B87">
        <w:rPr>
          <w:rFonts w:ascii="Times New Roman" w:eastAsia="Times New Roman" w:hAnsi="Times New Roman" w:cs="Times New Roman"/>
        </w:rPr>
        <w:t>stationary</w:t>
      </w:r>
      <w:r w:rsidR="00405E6C">
        <w:rPr>
          <w:rFonts w:ascii="Times New Roman" w:eastAsia="Times New Roman" w:hAnsi="Times New Roman" w:cs="Times New Roman"/>
        </w:rPr>
        <w:t xml:space="preserve"> in levels</w:t>
      </w:r>
      <w:r w:rsidRPr="00FE5B87">
        <w:rPr>
          <w:rFonts w:ascii="Times New Roman" w:eastAsia="Times New Roman" w:hAnsi="Times New Roman" w:cs="Times New Roman"/>
        </w:rPr>
        <w:t>.</w:t>
      </w:r>
      <w:r w:rsidR="00B01BDB">
        <w:rPr>
          <w:rFonts w:ascii="Times New Roman" w:eastAsia="Times New Roman" w:hAnsi="Times New Roman" w:cs="Times New Roman"/>
        </w:rPr>
        <w:t xml:space="preserve"> </w:t>
      </w:r>
      <w:r w:rsidR="00B01BDB" w:rsidRPr="00B01BDB">
        <w:rPr>
          <w:rFonts w:ascii="Times New Roman" w:eastAsia="Times New Roman" w:hAnsi="Times New Roman" w:cs="Times New Roman"/>
        </w:rPr>
        <w:t>To test for cointegration, the Engle–Granger two-step procedure was applied. First, a long-run equilibrium relationship was estimated by regressing</w:t>
      </w:r>
      <w:r w:rsidR="00F163AE">
        <w:rPr>
          <w:rFonts w:ascii="Times New Roman" w:eastAsia="Times New Roman" w:hAnsi="Times New Roman" w:cs="Times New Roman"/>
        </w:rPr>
        <w:t xml:space="preserve"> the time series. </w:t>
      </w:r>
      <w:r w:rsidR="0063487F" w:rsidRPr="0063487F">
        <w:rPr>
          <w:rFonts w:ascii="Times New Roman" w:eastAsia="Times New Roman" w:hAnsi="Times New Roman" w:cs="Times New Roman"/>
        </w:rPr>
        <w:t>In the second step, the residuals from the cointegration regression were tested for stationarity using the ADF test. The results indicat</w:t>
      </w:r>
      <w:r w:rsidR="0063487F">
        <w:rPr>
          <w:rFonts w:ascii="Times New Roman" w:eastAsia="Times New Roman" w:hAnsi="Times New Roman" w:cs="Times New Roman"/>
        </w:rPr>
        <w:t>ed</w:t>
      </w:r>
      <w:r w:rsidR="0063487F" w:rsidRPr="0063487F">
        <w:rPr>
          <w:rFonts w:ascii="Times New Roman" w:eastAsia="Times New Roman" w:hAnsi="Times New Roman" w:cs="Times New Roman"/>
        </w:rPr>
        <w:t xml:space="preserve"> that the residuals are stationary</w:t>
      </w:r>
      <w:r w:rsidR="0063487F">
        <w:rPr>
          <w:rFonts w:ascii="Times New Roman" w:eastAsia="Times New Roman" w:hAnsi="Times New Roman" w:cs="Times New Roman"/>
        </w:rPr>
        <w:t xml:space="preserve"> (</w:t>
      </w:r>
      <w:r w:rsidR="000F1586">
        <w:rPr>
          <w:rFonts w:ascii="Times New Roman" w:eastAsia="Times New Roman" w:hAnsi="Times New Roman" w:cs="Times New Roman"/>
        </w:rPr>
        <w:t xml:space="preserve">t = -4.060, </w:t>
      </w:r>
      <w:r w:rsidR="000F1586" w:rsidRPr="000F1586">
        <w:rPr>
          <w:rFonts w:ascii="Times New Roman" w:eastAsia="Times New Roman" w:hAnsi="Times New Roman" w:cs="Times New Roman"/>
          <w:i/>
          <w:iCs/>
        </w:rPr>
        <w:t xml:space="preserve">p </w:t>
      </w:r>
      <w:r w:rsidR="000F1586">
        <w:rPr>
          <w:rFonts w:ascii="Times New Roman" w:eastAsia="Times New Roman" w:hAnsi="Times New Roman" w:cs="Times New Roman"/>
        </w:rPr>
        <w:t>= .001)</w:t>
      </w:r>
      <w:r w:rsidR="0063487F" w:rsidRPr="0063487F">
        <w:rPr>
          <w:rFonts w:ascii="Times New Roman" w:eastAsia="Times New Roman" w:hAnsi="Times New Roman" w:cs="Times New Roman"/>
        </w:rPr>
        <w:t>.</w:t>
      </w:r>
      <w:r w:rsidR="0063487F">
        <w:rPr>
          <w:rFonts w:ascii="Times New Roman" w:eastAsia="Times New Roman" w:hAnsi="Times New Roman" w:cs="Times New Roman"/>
        </w:rPr>
        <w:t xml:space="preserve"> </w:t>
      </w:r>
      <w:r w:rsidR="0063487F" w:rsidRPr="0063487F">
        <w:rPr>
          <w:rFonts w:ascii="Times New Roman" w:eastAsia="Times New Roman" w:hAnsi="Times New Roman" w:cs="Times New Roman"/>
        </w:rPr>
        <w:t xml:space="preserve">Therefore, the variables are cointegrated, suggesting the existence of a stable long-run equilibrium relationship among </w:t>
      </w:r>
      <w:r w:rsidR="000F1586">
        <w:rPr>
          <w:rFonts w:ascii="Times New Roman" w:eastAsia="Times New Roman" w:hAnsi="Times New Roman" w:cs="Times New Roman"/>
        </w:rPr>
        <w:t xml:space="preserve">cigarettes sales, price and wage. </w:t>
      </w:r>
    </w:p>
    <w:tbl>
      <w:tblPr>
        <w:tblpPr w:leftFromText="141" w:rightFromText="141" w:vertAnchor="page" w:horzAnchor="margin" w:tblpY="5281"/>
        <w:tblW w:w="326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783"/>
        <w:gridCol w:w="851"/>
      </w:tblGrid>
      <w:tr w:rsidR="001C1A98" w:rsidRPr="00315FBB" w14:paraId="5B6E42DD" w14:textId="77777777" w:rsidTr="001C1A98"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477B4" w14:textId="77777777" w:rsidR="001C1A98" w:rsidRPr="00315FBB" w:rsidRDefault="001C1A98" w:rsidP="001C1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15FB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Table S1</w:t>
            </w:r>
          </w:p>
          <w:p w14:paraId="3F31253C" w14:textId="77777777" w:rsidR="001C1A98" w:rsidRPr="00315FBB" w:rsidRDefault="001C1A98" w:rsidP="001C1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ADF</w:t>
            </w: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test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</w:t>
            </w: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time series</w:t>
            </w: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variables</w:t>
            </w:r>
          </w:p>
        </w:tc>
      </w:tr>
      <w:tr w:rsidR="001C1A98" w:rsidRPr="00315FBB" w14:paraId="4C78DF2C" w14:textId="77777777" w:rsidTr="001C1A98">
        <w:trPr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810D9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B1246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FBB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</w:p>
        </w:tc>
      </w:tr>
      <w:tr w:rsidR="001C1A98" w:rsidRPr="00315FBB" w14:paraId="3B2F6CB3" w14:textId="77777777" w:rsidTr="001C1A98">
        <w:trPr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6695C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4C81C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FB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DC445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FBB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 w:rsidR="001C1A98" w:rsidRPr="00315FBB" w14:paraId="05F6867C" w14:textId="77777777" w:rsidTr="001C1A98">
        <w:trPr>
          <w:trHeight w:val="272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2569DC81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Cigarettes sales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13A8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-.794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0938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.966</w:t>
            </w:r>
          </w:p>
        </w:tc>
      </w:tr>
      <w:tr w:rsidR="001C1A98" w:rsidRPr="00315FBB" w14:paraId="3662554E" w14:textId="77777777" w:rsidTr="001C1A98">
        <w:trPr>
          <w:trHeight w:val="294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5D91EE0E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Cigarette price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672F7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-2.587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54C70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.286</w:t>
            </w:r>
          </w:p>
        </w:tc>
      </w:tr>
      <w:tr w:rsidR="001C1A98" w:rsidRPr="00315FBB" w14:paraId="2C637C08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56F6B79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Wage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EE80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-1.303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C93EB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.887</w:t>
            </w:r>
          </w:p>
        </w:tc>
      </w:tr>
      <w:tr w:rsidR="001C1A98" w:rsidRPr="00315FBB" w14:paraId="55FEE5B2" w14:textId="77777777" w:rsidTr="001C1A98"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1AB1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GB"/>
              </w:rPr>
              <w:t>Note</w:t>
            </w:r>
            <w:r w:rsidRPr="00315F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Maximum lag length = 12</w:t>
            </w:r>
          </w:p>
        </w:tc>
      </w:tr>
    </w:tbl>
    <w:p w14:paraId="7083FABB" w14:textId="77777777" w:rsidR="0005367C" w:rsidRDefault="0005367C" w:rsidP="0063487F">
      <w:pPr>
        <w:spacing w:line="360" w:lineRule="auto"/>
        <w:rPr>
          <w:rFonts w:ascii="Times New Roman" w:eastAsia="Times New Roman" w:hAnsi="Times New Roman" w:cs="Times New Roman"/>
        </w:rPr>
      </w:pPr>
    </w:p>
    <w:p w14:paraId="3BF51ED5" w14:textId="77777777" w:rsidR="00491737" w:rsidRPr="00491737" w:rsidRDefault="00491737" w:rsidP="00491737">
      <w:pPr>
        <w:rPr>
          <w:rFonts w:ascii="Times New Roman" w:eastAsia="Times New Roman" w:hAnsi="Times New Roman" w:cs="Times New Roman"/>
        </w:rPr>
      </w:pPr>
    </w:p>
    <w:p w14:paraId="0C0ED692" w14:textId="77777777" w:rsidR="00491737" w:rsidRPr="00491737" w:rsidRDefault="00491737" w:rsidP="00491737">
      <w:pPr>
        <w:rPr>
          <w:rFonts w:ascii="Times New Roman" w:eastAsia="Times New Roman" w:hAnsi="Times New Roman" w:cs="Times New Roman"/>
        </w:rPr>
      </w:pPr>
    </w:p>
    <w:p w14:paraId="2FE49143" w14:textId="77777777" w:rsidR="00491737" w:rsidRPr="00491737" w:rsidRDefault="00491737" w:rsidP="00491737">
      <w:pPr>
        <w:rPr>
          <w:rFonts w:ascii="Times New Roman" w:eastAsia="Times New Roman" w:hAnsi="Times New Roman" w:cs="Times New Roman"/>
        </w:rPr>
      </w:pPr>
    </w:p>
    <w:p w14:paraId="5F3874F8" w14:textId="77777777" w:rsidR="00491737" w:rsidRPr="00491737" w:rsidRDefault="00491737" w:rsidP="00491737">
      <w:pPr>
        <w:rPr>
          <w:rFonts w:ascii="Times New Roman" w:eastAsia="Times New Roman" w:hAnsi="Times New Roman" w:cs="Times New Roman"/>
        </w:rPr>
      </w:pPr>
    </w:p>
    <w:p w14:paraId="5DD53B9C" w14:textId="77777777" w:rsidR="00491737" w:rsidRDefault="00491737" w:rsidP="00491737">
      <w:pPr>
        <w:rPr>
          <w:rFonts w:ascii="Times New Roman" w:eastAsia="Times New Roman" w:hAnsi="Times New Roman" w:cs="Times New Roman"/>
        </w:rPr>
      </w:pPr>
    </w:p>
    <w:p w14:paraId="4B832139" w14:textId="655126E9" w:rsidR="001A4D57" w:rsidRDefault="00E13E27" w:rsidP="001C1A98">
      <w:pPr>
        <w:spacing w:line="360" w:lineRule="auto"/>
        <w:rPr>
          <w:rFonts w:ascii="Times New Roman" w:eastAsia="Times New Roman" w:hAnsi="Times New Roman" w:cs="Times New Roman"/>
        </w:rPr>
      </w:pPr>
      <w:r w:rsidRPr="00E13E27">
        <w:rPr>
          <w:rFonts w:ascii="Times New Roman" w:eastAsia="Times New Roman" w:hAnsi="Times New Roman" w:cs="Times New Roman"/>
        </w:rPr>
        <w:t>Given evidence of residual autocorrelation based on Breusch–Godfrey tests (Table S2), which persists even after including multiple lags and indicates long-memory dynamics, we report Newey–West standard errors allowing for autocorrelation up to 12 lags to ensure robust inference.</w:t>
      </w:r>
    </w:p>
    <w:tbl>
      <w:tblPr>
        <w:tblpPr w:leftFromText="141" w:rightFromText="141" w:vertAnchor="page" w:horzAnchor="margin" w:tblpY="9181"/>
        <w:tblW w:w="326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783"/>
        <w:gridCol w:w="851"/>
      </w:tblGrid>
      <w:tr w:rsidR="001C1A98" w:rsidRPr="00315FBB" w14:paraId="0F018D9A" w14:textId="77777777" w:rsidTr="001C1A98"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8BD2E" w14:textId="77777777" w:rsidR="001C1A98" w:rsidRPr="00315FBB" w:rsidRDefault="001C1A98" w:rsidP="001C1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15FB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Table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</w:t>
            </w:r>
          </w:p>
          <w:p w14:paraId="72BE70FD" w14:textId="77777777" w:rsidR="001C1A98" w:rsidRPr="00315FBB" w:rsidRDefault="001C1A98" w:rsidP="001C1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Breu</w:t>
            </w: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ch-Godfrey test for autocorrelation in baseline model</w:t>
            </w:r>
          </w:p>
        </w:tc>
      </w:tr>
      <w:tr w:rsidR="001C1A98" w:rsidRPr="00315FBB" w14:paraId="3CD84CC0" w14:textId="77777777" w:rsidTr="001C1A98">
        <w:trPr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211CE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Lags (p)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1E2E7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χ</w:t>
            </w:r>
            <w:r w:rsidRPr="002E53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A944F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FBB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 w:rsidR="001C1A98" w:rsidRPr="00315FBB" w14:paraId="6A90406C" w14:textId="77777777" w:rsidTr="001C1A98">
        <w:trPr>
          <w:trHeight w:val="272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5105487A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4B48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F6A0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</w:tr>
      <w:tr w:rsidR="001C1A98" w:rsidRPr="00315FBB" w14:paraId="05C9D892" w14:textId="77777777" w:rsidTr="001C1A98">
        <w:trPr>
          <w:trHeight w:val="294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3B046971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F7B5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4A48F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.008</w:t>
            </w:r>
          </w:p>
        </w:tc>
      </w:tr>
      <w:tr w:rsidR="001C1A98" w:rsidRPr="00315FBB" w14:paraId="42CAD7BF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2B860B9E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8772D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0DDD4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2B1594E6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AC38A08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5855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B07F6F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5E31E46F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5FE11A5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DBD5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66.339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B93BA3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2D6AF3F1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3B1558DB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E9DEE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72.271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FD7B2C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188CD1AD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B1D3DC9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5509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73.605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430E6A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67E64609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6D54932A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EB0BC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73.606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EF0D83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3CC31238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0819B33F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E218C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73.618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59D167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6B938017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229EB1DB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9EB49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64295C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5D443911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14A5F21C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5EA79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75.401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40F6AE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289DE6C1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1D4E226F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CD52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75.417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50AA30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3AC5C772" w14:textId="77777777" w:rsidTr="001C1A98"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A427E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</w:tbl>
    <w:p w14:paraId="5EAE97F5" w14:textId="77777777" w:rsidR="00A455AC" w:rsidRDefault="00A455AC" w:rsidP="00A455AC">
      <w:pPr>
        <w:ind w:firstLine="720"/>
        <w:rPr>
          <w:rFonts w:ascii="Times New Roman" w:eastAsia="Times New Roman" w:hAnsi="Times New Roman" w:cs="Times New Roman"/>
        </w:rPr>
      </w:pPr>
    </w:p>
    <w:p w14:paraId="60A88583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53065A1D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04C4C216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0D4B5B9E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553DF333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76E34F6F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7383C765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139CC0FC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58D45EE1" w14:textId="77777777" w:rsidR="007A68E9" w:rsidRDefault="007A68E9" w:rsidP="007A68E9">
      <w:pPr>
        <w:rPr>
          <w:rFonts w:ascii="Times New Roman" w:eastAsia="Times New Roman" w:hAnsi="Times New Roman" w:cs="Times New Roman"/>
        </w:rPr>
      </w:pPr>
    </w:p>
    <w:p w14:paraId="6CA39F8C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</w:p>
    <w:p w14:paraId="7CC6BF75" w14:textId="77777777" w:rsidR="001C1A98" w:rsidRDefault="001C1A98" w:rsidP="001C1A98">
      <w:pPr>
        <w:spacing w:line="360" w:lineRule="auto"/>
        <w:rPr>
          <w:rFonts w:ascii="Times New Roman" w:eastAsia="Times New Roman" w:hAnsi="Times New Roman" w:cs="Times New Roman"/>
        </w:rPr>
      </w:pPr>
      <w:r w:rsidRPr="00F53BC6">
        <w:rPr>
          <w:rFonts w:ascii="Times New Roman" w:eastAsia="Times New Roman" w:hAnsi="Times New Roman" w:cs="Times New Roman"/>
        </w:rPr>
        <w:lastRenderedPageBreak/>
        <w:t>The instrument</w:t>
      </w:r>
      <w:r>
        <w:rPr>
          <w:rFonts w:ascii="Times New Roman" w:eastAsia="Times New Roman" w:hAnsi="Times New Roman" w:cs="Times New Roman"/>
        </w:rPr>
        <w:t xml:space="preserve"> (i.e., specific tax on tobacco)</w:t>
      </w:r>
      <w:r w:rsidRPr="00F53BC6">
        <w:rPr>
          <w:rFonts w:ascii="Times New Roman" w:eastAsia="Times New Roman" w:hAnsi="Times New Roman" w:cs="Times New Roman"/>
        </w:rPr>
        <w:t xml:space="preserve"> showed strong relevance in the first stage (F-statistic &gt; 10</w:t>
      </w:r>
      <w:r>
        <w:rPr>
          <w:rFonts w:ascii="Times New Roman" w:eastAsia="Times New Roman" w:hAnsi="Times New Roman" w:cs="Times New Roman"/>
        </w:rPr>
        <w:t>; r = 0.953</w:t>
      </w:r>
      <w:r w:rsidRPr="00F53BC6">
        <w:rPr>
          <w:rFonts w:ascii="Times New Roman" w:eastAsia="Times New Roman" w:hAnsi="Times New Roman" w:cs="Times New Roman"/>
        </w:rPr>
        <w:t>), indicating a strong correlation with cigarette prices.</w:t>
      </w:r>
      <w:r>
        <w:rPr>
          <w:rFonts w:ascii="Times New Roman" w:eastAsia="Times New Roman" w:hAnsi="Times New Roman" w:cs="Times New Roman"/>
        </w:rPr>
        <w:t xml:space="preserve"> </w:t>
      </w:r>
      <w:r w:rsidRPr="00F53BC6">
        <w:rPr>
          <w:rFonts w:ascii="Times New Roman" w:eastAsia="Times New Roman" w:hAnsi="Times New Roman" w:cs="Times New Roman"/>
        </w:rPr>
        <w:t>Durbin–Wu–Hausman tests suggested that price may be endogenous</w:t>
      </w:r>
      <w:r>
        <w:rPr>
          <w:rFonts w:ascii="Times New Roman" w:eastAsia="Times New Roman" w:hAnsi="Times New Roman" w:cs="Times New Roman"/>
        </w:rPr>
        <w:t xml:space="preserve"> (</w:t>
      </w:r>
      <w:r w:rsidRPr="00D53075">
        <w:rPr>
          <w:rFonts w:ascii="Times New Roman" w:eastAsia="Times New Roman" w:hAnsi="Times New Roman" w:cs="Times New Roman"/>
          <w:i/>
          <w:iCs/>
        </w:rPr>
        <w:t>p</w:t>
      </w:r>
      <w:r>
        <w:rPr>
          <w:rFonts w:ascii="Times New Roman" w:eastAsia="Times New Roman" w:hAnsi="Times New Roman" w:cs="Times New Roman"/>
        </w:rPr>
        <w:t xml:space="preserve"> &lt; .001)</w:t>
      </w:r>
      <w:r w:rsidRPr="00F53BC6">
        <w:rPr>
          <w:rFonts w:ascii="Times New Roman" w:eastAsia="Times New Roman" w:hAnsi="Times New Roman" w:cs="Times New Roman"/>
        </w:rPr>
        <w:t>, supporting the use of IV estimation.</w:t>
      </w:r>
      <w:r>
        <w:rPr>
          <w:rFonts w:ascii="Times New Roman" w:eastAsia="Times New Roman" w:hAnsi="Times New Roman" w:cs="Times New Roman"/>
        </w:rPr>
        <w:t xml:space="preserve"> </w:t>
      </w:r>
      <w:r w:rsidRPr="00F53BC6">
        <w:rPr>
          <w:rFonts w:ascii="Times New Roman" w:eastAsia="Times New Roman" w:hAnsi="Times New Roman" w:cs="Times New Roman"/>
        </w:rPr>
        <w:t xml:space="preserve">In the IV specification, the estimated price elasticity was </w:t>
      </w:r>
      <w:r>
        <w:rPr>
          <w:rFonts w:ascii="Times New Roman" w:eastAsia="Times New Roman" w:hAnsi="Times New Roman" w:cs="Times New Roman"/>
        </w:rPr>
        <w:t xml:space="preserve">slightly </w:t>
      </w:r>
      <w:r w:rsidRPr="00F53BC6">
        <w:rPr>
          <w:rFonts w:ascii="Times New Roman" w:eastAsia="Times New Roman" w:hAnsi="Times New Roman" w:cs="Times New Roman"/>
        </w:rPr>
        <w:t>larger</w:t>
      </w:r>
      <w:r>
        <w:rPr>
          <w:rFonts w:ascii="Times New Roman" w:eastAsia="Times New Roman" w:hAnsi="Times New Roman" w:cs="Times New Roman"/>
        </w:rPr>
        <w:t xml:space="preserve"> </w:t>
      </w:r>
      <w:r w:rsidRPr="00F53BC6">
        <w:rPr>
          <w:rFonts w:ascii="Times New Roman" w:eastAsia="Times New Roman" w:hAnsi="Times New Roman" w:cs="Times New Roman"/>
        </w:rPr>
        <w:t>in magnitude than in the baseline models</w:t>
      </w:r>
      <w:r>
        <w:rPr>
          <w:rFonts w:ascii="Times New Roman" w:eastAsia="Times New Roman" w:hAnsi="Times New Roman" w:cs="Times New Roman"/>
        </w:rPr>
        <w:t xml:space="preserve"> (Table S3)</w:t>
      </w:r>
      <w:r w:rsidRPr="00F53BC6">
        <w:rPr>
          <w:rFonts w:ascii="Times New Roman" w:eastAsia="Times New Roman" w:hAnsi="Times New Roman" w:cs="Times New Roman"/>
        </w:rPr>
        <w:t>, indicating that conventional estimates may underestimate the responsiveness of demand to price changes.</w:t>
      </w:r>
      <w:r>
        <w:rPr>
          <w:rFonts w:ascii="Times New Roman" w:eastAsia="Times New Roman" w:hAnsi="Times New Roman" w:cs="Times New Roman"/>
        </w:rPr>
        <w:t xml:space="preserve"> </w:t>
      </w:r>
      <w:r w:rsidRPr="00C71B93">
        <w:rPr>
          <w:rFonts w:ascii="Times New Roman" w:eastAsia="Times New Roman" w:hAnsi="Times New Roman" w:cs="Times New Roman"/>
        </w:rPr>
        <w:t>The direction and significance of the coefficients remain consistent across specifications.</w:t>
      </w:r>
      <w:r>
        <w:rPr>
          <w:rFonts w:ascii="Times New Roman" w:eastAsia="Times New Roman" w:hAnsi="Times New Roman" w:cs="Times New Roman"/>
        </w:rPr>
        <w:t xml:space="preserve"> </w:t>
      </w:r>
      <w:r w:rsidRPr="00F53BC6">
        <w:rPr>
          <w:rFonts w:ascii="Times New Roman" w:eastAsia="Times New Roman" w:hAnsi="Times New Roman" w:cs="Times New Roman"/>
        </w:rPr>
        <w:t xml:space="preserve">The IV model was estimated without </w:t>
      </w:r>
      <w:r>
        <w:rPr>
          <w:rFonts w:ascii="Times New Roman" w:eastAsia="Times New Roman" w:hAnsi="Times New Roman" w:cs="Times New Roman"/>
        </w:rPr>
        <w:t>lag</w:t>
      </w:r>
      <w:r w:rsidRPr="00F53BC6">
        <w:rPr>
          <w:rFonts w:ascii="Times New Roman" w:eastAsia="Times New Roman" w:hAnsi="Times New Roman" w:cs="Times New Roman"/>
        </w:rPr>
        <w:t xml:space="preserve"> terms or policy variables to focus on the contemporaneous effect of prices and to avoid overlap with the tax-based instrument.</w:t>
      </w:r>
    </w:p>
    <w:p w14:paraId="3B170279" w14:textId="77777777" w:rsidR="001C1A98" w:rsidRPr="007A68E9" w:rsidRDefault="001C1A98" w:rsidP="007A68E9">
      <w:pPr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page" w:horzAnchor="margin" w:tblpY="4966"/>
        <w:tblW w:w="706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016"/>
        <w:gridCol w:w="851"/>
        <w:gridCol w:w="851"/>
        <w:gridCol w:w="1016"/>
        <w:gridCol w:w="851"/>
        <w:gridCol w:w="851"/>
        <w:gridCol w:w="6"/>
      </w:tblGrid>
      <w:tr w:rsidR="001C1A98" w:rsidRPr="00315FBB" w14:paraId="30355F3B" w14:textId="77777777" w:rsidTr="0051720A">
        <w:tc>
          <w:tcPr>
            <w:tcW w:w="7069" w:type="dxa"/>
            <w:gridSpan w:val="8"/>
            <w:tcBorders>
              <w:top w:val="nil"/>
              <w:left w:val="nil"/>
              <w:bottom w:val="nil"/>
            </w:tcBorders>
          </w:tcPr>
          <w:p w14:paraId="4B17DE06" w14:textId="77777777" w:rsidR="001C1A98" w:rsidRPr="00315FBB" w:rsidRDefault="001C1A98" w:rsidP="001C1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15FB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Table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</w:t>
            </w:r>
          </w:p>
          <w:p w14:paraId="6DAD662B" w14:textId="77777777" w:rsidR="001C1A98" w:rsidRPr="00315FBB" w:rsidRDefault="001C1A98" w:rsidP="001C1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Instrumental variable regression vs control Newey-West regression</w:t>
            </w:r>
          </w:p>
        </w:tc>
      </w:tr>
      <w:tr w:rsidR="001C1A98" w:rsidRPr="00315FBB" w14:paraId="6B019972" w14:textId="77777777" w:rsidTr="0051720A">
        <w:trPr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32B96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FBC21A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524A85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Control</w:t>
            </w:r>
          </w:p>
        </w:tc>
      </w:tr>
      <w:tr w:rsidR="001C1A98" w:rsidRPr="00315FBB" w14:paraId="67056B05" w14:textId="77777777" w:rsidTr="0051720A">
        <w:trPr>
          <w:gridAfter w:val="1"/>
          <w:wAfter w:w="6" w:type="dxa"/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88F0B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470BD" w14:textId="00FFC54E" w:rsidR="001C1A98" w:rsidRPr="00315FBB" w:rsidRDefault="0051720A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5D108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511FF5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6843E42D" w14:textId="7CF6646A" w:rsidR="001C1A98" w:rsidRPr="00315FBB" w:rsidRDefault="0051720A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957AF3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9A85A1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 w:rsidR="001C1A98" w:rsidRPr="00315FBB" w14:paraId="63C11294" w14:textId="77777777" w:rsidTr="0051720A">
        <w:trPr>
          <w:gridAfter w:val="1"/>
          <w:wAfter w:w="6" w:type="dxa"/>
          <w:trHeight w:val="272"/>
        </w:trPr>
        <w:tc>
          <w:tcPr>
            <w:tcW w:w="1627" w:type="dxa"/>
            <w:tcBorders>
              <w:top w:val="single" w:sz="4" w:space="0" w:color="auto"/>
              <w:left w:val="nil"/>
              <w:right w:val="nil"/>
            </w:tcBorders>
          </w:tcPr>
          <w:p w14:paraId="55E790A2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Price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46D52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2ADCB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-19.31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D217C4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55E69DEF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-1.000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45AA9A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-12.58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AE8215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84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54D1AE03" w14:textId="77777777" w:rsidTr="0051720A">
        <w:trPr>
          <w:gridAfter w:val="1"/>
          <w:wAfter w:w="6" w:type="dxa"/>
          <w:trHeight w:val="294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00F2A564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Wage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F96D6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0A81B6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12.47</w:t>
            </w:r>
          </w:p>
        </w:tc>
        <w:tc>
          <w:tcPr>
            <w:tcW w:w="851" w:type="dxa"/>
          </w:tcPr>
          <w:p w14:paraId="0A1EECC6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016" w:type="dxa"/>
          </w:tcPr>
          <w:p w14:paraId="5F6E309C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1.060</w:t>
            </w:r>
          </w:p>
        </w:tc>
        <w:tc>
          <w:tcPr>
            <w:tcW w:w="851" w:type="dxa"/>
          </w:tcPr>
          <w:p w14:paraId="214BB1DB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5.32</w:t>
            </w:r>
          </w:p>
        </w:tc>
        <w:tc>
          <w:tcPr>
            <w:tcW w:w="851" w:type="dxa"/>
          </w:tcPr>
          <w:p w14:paraId="6FF2E896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84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0A7BAB57" w14:textId="77777777" w:rsidTr="0051720A">
        <w:trPr>
          <w:gridAfter w:val="1"/>
          <w:wAfter w:w="6" w:type="dxa"/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0B0D9C1C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8AAE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0B02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-4.27</w:t>
            </w:r>
          </w:p>
        </w:tc>
        <w:tc>
          <w:tcPr>
            <w:tcW w:w="851" w:type="dxa"/>
          </w:tcPr>
          <w:p w14:paraId="020DFE62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016" w:type="dxa"/>
          </w:tcPr>
          <w:p w14:paraId="6DE4A0FC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-.193</w:t>
            </w:r>
          </w:p>
        </w:tc>
        <w:tc>
          <w:tcPr>
            <w:tcW w:w="851" w:type="dxa"/>
          </w:tcPr>
          <w:p w14:paraId="7700C3E7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-7.16</w:t>
            </w:r>
          </w:p>
        </w:tc>
        <w:tc>
          <w:tcPr>
            <w:tcW w:w="851" w:type="dxa"/>
          </w:tcPr>
          <w:p w14:paraId="73687C76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84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78686687" w14:textId="77777777" w:rsidTr="0051720A">
        <w:trPr>
          <w:gridAfter w:val="1"/>
          <w:wAfter w:w="6" w:type="dxa"/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4568CE72" w14:textId="77777777" w:rsidR="001C1A98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Trend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BAD6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409242" w14:textId="77777777" w:rsidR="001C1A98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-5.28</w:t>
            </w:r>
          </w:p>
        </w:tc>
        <w:tc>
          <w:tcPr>
            <w:tcW w:w="851" w:type="dxa"/>
          </w:tcPr>
          <w:p w14:paraId="2637EB1C" w14:textId="77777777" w:rsidR="001C1A98" w:rsidRPr="00FC453C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016" w:type="dxa"/>
          </w:tcPr>
          <w:p w14:paraId="4A4351D6" w14:textId="77777777" w:rsidR="001C1A98" w:rsidRPr="00FC453C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-.002</w:t>
            </w:r>
          </w:p>
        </w:tc>
        <w:tc>
          <w:tcPr>
            <w:tcW w:w="851" w:type="dxa"/>
          </w:tcPr>
          <w:p w14:paraId="13A74F38" w14:textId="77777777" w:rsidR="001C1A98" w:rsidRPr="00FC453C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-4.77</w:t>
            </w:r>
          </w:p>
        </w:tc>
        <w:tc>
          <w:tcPr>
            <w:tcW w:w="851" w:type="dxa"/>
          </w:tcPr>
          <w:p w14:paraId="1496CDF8" w14:textId="77777777" w:rsidR="001C1A98" w:rsidRPr="00FC453C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84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235E5221" w14:textId="77777777" w:rsidTr="0051720A">
        <w:tc>
          <w:tcPr>
            <w:tcW w:w="7069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14:paraId="65BD1F15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Note. IV = instrumental variable.</w:t>
            </w:r>
          </w:p>
        </w:tc>
      </w:tr>
    </w:tbl>
    <w:p w14:paraId="5AAC4514" w14:textId="77777777" w:rsidR="007A68E9" w:rsidRDefault="007A68E9" w:rsidP="007A68E9">
      <w:pPr>
        <w:rPr>
          <w:rFonts w:ascii="Times New Roman" w:eastAsia="Times New Roman" w:hAnsi="Times New Roman" w:cs="Times New Roman"/>
        </w:rPr>
      </w:pPr>
    </w:p>
    <w:p w14:paraId="250541F1" w14:textId="14DD9B4A" w:rsidR="007A68E9" w:rsidRDefault="007A68E9" w:rsidP="007A68E9">
      <w:pPr>
        <w:rPr>
          <w:rFonts w:ascii="Times New Roman" w:eastAsia="Times New Roman" w:hAnsi="Times New Roman" w:cs="Times New Roman"/>
        </w:rPr>
      </w:pPr>
    </w:p>
    <w:p w14:paraId="2FFA06DD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</w:p>
    <w:p w14:paraId="0848F733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</w:p>
    <w:p w14:paraId="1E682793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</w:p>
    <w:p w14:paraId="5BDD3B44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45B11961" w14:textId="1CA40840" w:rsidR="00BE59D3" w:rsidRPr="007A68E9" w:rsidRDefault="00BE59D3" w:rsidP="001C1A98">
      <w:pPr>
        <w:spacing w:line="360" w:lineRule="auto"/>
        <w:rPr>
          <w:rFonts w:ascii="Times New Roman" w:eastAsia="Times New Roman" w:hAnsi="Times New Roman" w:cs="Times New Roman"/>
        </w:rPr>
      </w:pPr>
      <w:r w:rsidRPr="00BE59D3">
        <w:rPr>
          <w:rFonts w:ascii="Times New Roman" w:eastAsia="Times New Roman" w:hAnsi="Times New Roman" w:cs="Times New Roman"/>
        </w:rPr>
        <w:t xml:space="preserve">Model specification tests did not indicate misspecification of the functional form (RESET test, </w:t>
      </w:r>
      <w:r w:rsidR="00B3445F">
        <w:rPr>
          <w:rFonts w:ascii="Times New Roman" w:eastAsia="Times New Roman" w:hAnsi="Times New Roman" w:cs="Times New Roman"/>
        </w:rPr>
        <w:t xml:space="preserve">F = 1.94, </w:t>
      </w:r>
      <w:r w:rsidR="00B3445F" w:rsidRPr="00B3445F">
        <w:rPr>
          <w:rFonts w:ascii="Times New Roman" w:eastAsia="Times New Roman" w:hAnsi="Times New Roman" w:cs="Times New Roman"/>
          <w:i/>
          <w:iCs/>
        </w:rPr>
        <w:t>p</w:t>
      </w:r>
      <w:r w:rsidR="00B3445F">
        <w:rPr>
          <w:rFonts w:ascii="Times New Roman" w:eastAsia="Times New Roman" w:hAnsi="Times New Roman" w:cs="Times New Roman"/>
        </w:rPr>
        <w:t xml:space="preserve"> = .124</w:t>
      </w:r>
      <w:r w:rsidRPr="00BE59D3">
        <w:rPr>
          <w:rFonts w:ascii="Times New Roman" w:eastAsia="Times New Roman" w:hAnsi="Times New Roman" w:cs="Times New Roman"/>
        </w:rPr>
        <w:t>). V</w:t>
      </w:r>
      <w:r w:rsidR="002B496D">
        <w:rPr>
          <w:rFonts w:ascii="Times New Roman" w:eastAsia="Times New Roman" w:hAnsi="Times New Roman" w:cs="Times New Roman"/>
        </w:rPr>
        <w:t>IF</w:t>
      </w:r>
      <w:r w:rsidRPr="00BE59D3">
        <w:rPr>
          <w:rFonts w:ascii="Times New Roman" w:eastAsia="Times New Roman" w:hAnsi="Times New Roman" w:cs="Times New Roman"/>
        </w:rPr>
        <w:t xml:space="preserve"> indicated the presence of multicollinearity among trending variables, which is expected in time series settings and does not affect the consistency of the estimates.</w:t>
      </w:r>
    </w:p>
    <w:sectPr w:rsidR="00BE59D3" w:rsidRPr="007A68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DBE43" w14:textId="77777777" w:rsidR="001A77DA" w:rsidRDefault="001A77DA" w:rsidP="001C1A98">
      <w:pPr>
        <w:spacing w:after="0" w:line="240" w:lineRule="auto"/>
      </w:pPr>
      <w:r>
        <w:separator/>
      </w:r>
    </w:p>
  </w:endnote>
  <w:endnote w:type="continuationSeparator" w:id="0">
    <w:p w14:paraId="63696248" w14:textId="77777777" w:rsidR="001A77DA" w:rsidRDefault="001A77DA" w:rsidP="001C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380B4" w14:textId="77777777" w:rsidR="001A77DA" w:rsidRDefault="001A77DA" w:rsidP="001C1A98">
      <w:pPr>
        <w:spacing w:after="0" w:line="240" w:lineRule="auto"/>
      </w:pPr>
      <w:r>
        <w:separator/>
      </w:r>
    </w:p>
  </w:footnote>
  <w:footnote w:type="continuationSeparator" w:id="0">
    <w:p w14:paraId="1DDE1DD1" w14:textId="77777777" w:rsidR="001A77DA" w:rsidRDefault="001A77DA" w:rsidP="001C1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2D"/>
    <w:rsid w:val="00002C07"/>
    <w:rsid w:val="00037A3C"/>
    <w:rsid w:val="000423BA"/>
    <w:rsid w:val="00051E83"/>
    <w:rsid w:val="0005367C"/>
    <w:rsid w:val="00085C7A"/>
    <w:rsid w:val="00094C3C"/>
    <w:rsid w:val="000E2135"/>
    <w:rsid w:val="000F1586"/>
    <w:rsid w:val="001059B4"/>
    <w:rsid w:val="00117161"/>
    <w:rsid w:val="001347A6"/>
    <w:rsid w:val="00161170"/>
    <w:rsid w:val="001A426B"/>
    <w:rsid w:val="001A4D57"/>
    <w:rsid w:val="001A77DA"/>
    <w:rsid w:val="001C1A98"/>
    <w:rsid w:val="001C657C"/>
    <w:rsid w:val="001F384A"/>
    <w:rsid w:val="0020566F"/>
    <w:rsid w:val="00233966"/>
    <w:rsid w:val="00234164"/>
    <w:rsid w:val="00236D68"/>
    <w:rsid w:val="002900D4"/>
    <w:rsid w:val="00292E70"/>
    <w:rsid w:val="00297114"/>
    <w:rsid w:val="002A5A2B"/>
    <w:rsid w:val="002B496D"/>
    <w:rsid w:val="002B6FCA"/>
    <w:rsid w:val="002E532E"/>
    <w:rsid w:val="00310311"/>
    <w:rsid w:val="00315B73"/>
    <w:rsid w:val="00315FBB"/>
    <w:rsid w:val="00366243"/>
    <w:rsid w:val="00366868"/>
    <w:rsid w:val="00375E08"/>
    <w:rsid w:val="00376D88"/>
    <w:rsid w:val="00393397"/>
    <w:rsid w:val="003953DD"/>
    <w:rsid w:val="003B39F9"/>
    <w:rsid w:val="003C5416"/>
    <w:rsid w:val="003D5023"/>
    <w:rsid w:val="00405E6C"/>
    <w:rsid w:val="00413E8B"/>
    <w:rsid w:val="00421641"/>
    <w:rsid w:val="00433CE2"/>
    <w:rsid w:val="00446784"/>
    <w:rsid w:val="00491737"/>
    <w:rsid w:val="004941B6"/>
    <w:rsid w:val="00495374"/>
    <w:rsid w:val="00496C76"/>
    <w:rsid w:val="004C5D2D"/>
    <w:rsid w:val="004C6BF5"/>
    <w:rsid w:val="0051720A"/>
    <w:rsid w:val="00544673"/>
    <w:rsid w:val="00577D72"/>
    <w:rsid w:val="005922F7"/>
    <w:rsid w:val="005B1232"/>
    <w:rsid w:val="005B5AD4"/>
    <w:rsid w:val="005E5DCE"/>
    <w:rsid w:val="00605C69"/>
    <w:rsid w:val="0063487F"/>
    <w:rsid w:val="00683ABB"/>
    <w:rsid w:val="006D157C"/>
    <w:rsid w:val="006D7D58"/>
    <w:rsid w:val="006E7F62"/>
    <w:rsid w:val="00720F2E"/>
    <w:rsid w:val="007268BE"/>
    <w:rsid w:val="00780FB5"/>
    <w:rsid w:val="00794ADB"/>
    <w:rsid w:val="007A68E9"/>
    <w:rsid w:val="007B146B"/>
    <w:rsid w:val="007B273D"/>
    <w:rsid w:val="00847751"/>
    <w:rsid w:val="00856F2F"/>
    <w:rsid w:val="008657F1"/>
    <w:rsid w:val="00911B3C"/>
    <w:rsid w:val="00943D93"/>
    <w:rsid w:val="009459E6"/>
    <w:rsid w:val="009B5784"/>
    <w:rsid w:val="009C6DDA"/>
    <w:rsid w:val="009E3C81"/>
    <w:rsid w:val="009E7B05"/>
    <w:rsid w:val="00A455AC"/>
    <w:rsid w:val="00A604EA"/>
    <w:rsid w:val="00A80287"/>
    <w:rsid w:val="00AA6E07"/>
    <w:rsid w:val="00B01BDB"/>
    <w:rsid w:val="00B31EED"/>
    <w:rsid w:val="00B340A6"/>
    <w:rsid w:val="00B3445F"/>
    <w:rsid w:val="00B544C2"/>
    <w:rsid w:val="00B6424A"/>
    <w:rsid w:val="00BB32BB"/>
    <w:rsid w:val="00BB5835"/>
    <w:rsid w:val="00BB71D7"/>
    <w:rsid w:val="00BE59D3"/>
    <w:rsid w:val="00C0214E"/>
    <w:rsid w:val="00C41E77"/>
    <w:rsid w:val="00C434C6"/>
    <w:rsid w:val="00C71B93"/>
    <w:rsid w:val="00C82FF8"/>
    <w:rsid w:val="00CC44A8"/>
    <w:rsid w:val="00CD6D51"/>
    <w:rsid w:val="00D507BD"/>
    <w:rsid w:val="00D53075"/>
    <w:rsid w:val="00D5728B"/>
    <w:rsid w:val="00D645CD"/>
    <w:rsid w:val="00D659F7"/>
    <w:rsid w:val="00E13E27"/>
    <w:rsid w:val="00E238D4"/>
    <w:rsid w:val="00E752A5"/>
    <w:rsid w:val="00EB2001"/>
    <w:rsid w:val="00EC06EA"/>
    <w:rsid w:val="00EC0B1D"/>
    <w:rsid w:val="00EF1EE4"/>
    <w:rsid w:val="00EF296A"/>
    <w:rsid w:val="00F0566C"/>
    <w:rsid w:val="00F163AE"/>
    <w:rsid w:val="00F215A3"/>
    <w:rsid w:val="00F33C83"/>
    <w:rsid w:val="00F3736D"/>
    <w:rsid w:val="00F53BC6"/>
    <w:rsid w:val="00F553E5"/>
    <w:rsid w:val="00F61B6C"/>
    <w:rsid w:val="00FB2B19"/>
    <w:rsid w:val="00FE5B87"/>
    <w:rsid w:val="00FF26CC"/>
    <w:rsid w:val="15CB70B4"/>
    <w:rsid w:val="2C645778"/>
    <w:rsid w:val="7C67D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853C"/>
  <w15:chartTrackingRefBased/>
  <w15:docId w15:val="{256F35BC-E8EA-4611-B3C8-3FB2BFB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EE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544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6D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6D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6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6D5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C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A98"/>
  </w:style>
  <w:style w:type="paragraph" w:styleId="Piedepgina">
    <w:name w:val="footer"/>
    <w:basedOn w:val="Normal"/>
    <w:link w:val="PiedepginaCar"/>
    <w:uiPriority w:val="99"/>
    <w:unhideWhenUsed/>
    <w:rsid w:val="001C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431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 GARCIA PEREZ</cp:lastModifiedBy>
  <cp:revision>108</cp:revision>
  <dcterms:created xsi:type="dcterms:W3CDTF">2024-05-10T09:25:00Z</dcterms:created>
  <dcterms:modified xsi:type="dcterms:W3CDTF">2026-05-08T12:09:00Z</dcterms:modified>
</cp:coreProperties>
</file>