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41C" w:rsidRPr="006E0596" w:rsidRDefault="0088712E" w:rsidP="003F6518">
      <w:pPr>
        <w:jc w:val="center"/>
        <w:rPr>
          <w:rFonts w:ascii="Palatino Linotype" w:hAnsi="Palatino Linotype" w:cstheme="majorBidi"/>
          <w:b/>
          <w:bCs/>
          <w:sz w:val="28"/>
          <w:szCs w:val="28"/>
        </w:rPr>
      </w:pPr>
      <w:proofErr w:type="spellStart"/>
      <w:r w:rsidRPr="006E0596">
        <w:rPr>
          <w:rFonts w:ascii="Palatino Linotype" w:hAnsi="Palatino Linotype" w:cstheme="majorBidi"/>
          <w:b/>
          <w:bCs/>
          <w:sz w:val="28"/>
          <w:szCs w:val="28"/>
        </w:rPr>
        <w:t>Supplementery</w:t>
      </w:r>
      <w:bookmarkStart w:id="0" w:name="_GoBack"/>
      <w:bookmarkEnd w:id="0"/>
      <w:proofErr w:type="spellEnd"/>
      <w:r w:rsidRPr="006E0596">
        <w:rPr>
          <w:rFonts w:ascii="Palatino Linotype" w:hAnsi="Palatino Linotype" w:cstheme="majorBidi"/>
          <w:b/>
          <w:bCs/>
          <w:sz w:val="28"/>
          <w:szCs w:val="28"/>
        </w:rPr>
        <w:t xml:space="preserve"> file </w:t>
      </w:r>
      <w:r w:rsidR="003F6518" w:rsidRPr="006E0596">
        <w:rPr>
          <w:rFonts w:ascii="Palatino Linotype" w:hAnsi="Palatino Linotype" w:cstheme="majorBidi"/>
          <w:b/>
          <w:bCs/>
          <w:sz w:val="28"/>
          <w:szCs w:val="28"/>
        </w:rPr>
        <w:t>(SI)</w:t>
      </w:r>
    </w:p>
    <w:p w:rsidR="00CC7E90" w:rsidRPr="006E0596" w:rsidRDefault="00CC7E90" w:rsidP="00CC7E90">
      <w:pPr>
        <w:spacing w:line="360" w:lineRule="auto"/>
        <w:ind w:left="720"/>
        <w:jc w:val="both"/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</w:pPr>
      <w:r w:rsidRPr="006E0596">
        <w:rPr>
          <w:rFonts w:ascii="Palatino Linotype" w:hAnsi="Palatino Linotype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F700B1F">
            <wp:simplePos x="0" y="0"/>
            <wp:positionH relativeFrom="margin">
              <wp:align>center</wp:align>
            </wp:positionH>
            <wp:positionV relativeFrom="paragraph">
              <wp:posOffset>3381747</wp:posOffset>
            </wp:positionV>
            <wp:extent cx="3657600" cy="2579370"/>
            <wp:effectExtent l="0" t="0" r="0" b="0"/>
            <wp:wrapThrough wrapText="bothSides">
              <wp:wrapPolygon edited="0">
                <wp:start x="0" y="0"/>
                <wp:lineTo x="0" y="13241"/>
                <wp:lineTo x="2588" y="15315"/>
                <wp:lineTo x="3150" y="15315"/>
                <wp:lineTo x="563" y="16591"/>
                <wp:lineTo x="338" y="16910"/>
                <wp:lineTo x="0" y="18346"/>
                <wp:lineTo x="0" y="20419"/>
                <wp:lineTo x="338" y="21377"/>
                <wp:lineTo x="5963" y="21377"/>
                <wp:lineTo x="12263" y="21377"/>
                <wp:lineTo x="20813" y="20898"/>
                <wp:lineTo x="21488" y="20419"/>
                <wp:lineTo x="21488" y="18186"/>
                <wp:lineTo x="20588" y="17867"/>
                <wp:lineTo x="20588" y="5105"/>
                <wp:lineTo x="21038" y="638"/>
                <wp:lineTo x="19125" y="319"/>
                <wp:lineTo x="10125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The </w:t>
      </w:r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vertAlign w:val="superscript"/>
          <w:lang w:val="en-GB"/>
        </w:rPr>
        <w:t>1</w:t>
      </w:r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H NMR characterization of the pyridine derivative displays a distinctive spectral signature, featuring: (</w:t>
      </w:r>
      <w:proofErr w:type="spell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i</w:t>
      </w:r>
      <w:proofErr w:type="spell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) a </w:t>
      </w:r>
      <w:proofErr w:type="spell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multiplet</w:t>
      </w:r>
      <w:proofErr w:type="spell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centered</w:t>
      </w:r>
      <w:proofErr w:type="spell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at 8.18 ppm assigned to the H6/H7 aromatic protons of the pyridine ring, (ii) a complex system at 7.50 ppm, resolved as overlapping doublet of doublets, corresponding to H1/H12 protons, and (iii) a </w:t>
      </w:r>
      <w:proofErr w:type="spell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multiplet</w:t>
      </w:r>
      <w:proofErr w:type="spell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at 6.93 ppm associated with H5/H8 protons.</w:t>
      </w:r>
      <w:proofErr w:type="gram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The tert-butyl groups are characterized by an intense singlet at 1.49 ppm</w:t>
      </w:r>
      <w:proofErr w:type="gram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, integrating for 9 methyl protons. Definitive structural confirmation </w:t>
      </w:r>
      <w:proofErr w:type="gram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is provided</w:t>
      </w:r>
      <w:proofErr w:type="gram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by </w:t>
      </w:r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vertAlign w:val="superscript"/>
          <w:lang w:val="en-GB"/>
        </w:rPr>
        <w:t>19</w:t>
      </w:r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F NMR spectroscopy, where the observation of a singlet at -68.83 ppm indicates a single fluorine environment in the molecular architecture. Collectively, these spectral data conclusively corroborate the formation of the target substituted pyridine derivative structure.</w:t>
      </w: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CC7E90">
      <w:pPr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Default="00CC7E90" w:rsidP="008C0585">
      <w:pPr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CC7E90" w:rsidRPr="006E0596" w:rsidRDefault="00CC7E90" w:rsidP="00CC7E90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lang w:val="en-GB"/>
        </w:rPr>
        <w:t>Fig</w:t>
      </w:r>
      <w:r w:rsidR="003F6518" w:rsidRPr="006E0596">
        <w:rPr>
          <w:rFonts w:ascii="Palatino Linotype" w:hAnsi="Palatino Linotype" w:cstheme="majorBidi"/>
          <w:b/>
          <w:bCs/>
          <w:lang w:val="en-GB"/>
        </w:rPr>
        <w:t>ure S1:</w:t>
      </w:r>
      <w:r w:rsidRPr="006E0596">
        <w:rPr>
          <w:rFonts w:ascii="Palatino Linotype" w:hAnsi="Palatino Linotype" w:cstheme="majorBidi"/>
          <w:b/>
          <w:bCs/>
          <w:lang w:val="en-GB"/>
        </w:rPr>
        <w:t xml:space="preserve"> </w:t>
      </w:r>
      <w:r w:rsidRPr="006E0596">
        <w:rPr>
          <w:rFonts w:ascii="Palatino Linotype" w:hAnsi="Palatino Linotype" w:cstheme="majorBidi"/>
          <w:lang w:val="en-GB"/>
        </w:rPr>
        <w:t>¹H NMR spectrum of 4-(N-tert-butylcarbazol-9-yl)-3</w:t>
      </w:r>
      <w:proofErr w:type="gramStart"/>
      <w:r w:rsidRPr="006E0596">
        <w:rPr>
          <w:rFonts w:ascii="Palatino Linotype" w:hAnsi="Palatino Linotype" w:cstheme="majorBidi"/>
          <w:lang w:val="en-GB"/>
        </w:rPr>
        <w:t>,5</w:t>
      </w:r>
      <w:proofErr w:type="gramEnd"/>
      <w:r w:rsidRPr="006E0596">
        <w:rPr>
          <w:rFonts w:ascii="Palatino Linotype" w:hAnsi="Palatino Linotype" w:cstheme="majorBidi"/>
          <w:lang w:val="en-GB"/>
        </w:rPr>
        <w:t>-dichloro-2,6-difluoropyridine (in chloroform, 25°C).</w:t>
      </w: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  <w:r>
        <w:rPr>
          <w:rFonts w:asciiTheme="majorBidi" w:hAnsiTheme="majorBidi" w:cstheme="majorBidi"/>
          <w:b/>
          <w:bCs/>
          <w:noProof/>
          <w:sz w:val="24"/>
          <w:szCs w:val="28"/>
          <w:lang w:eastAsia="fr-FR"/>
        </w:rPr>
        <w:lastRenderedPageBreak/>
        <w:drawing>
          <wp:anchor distT="0" distB="0" distL="114300" distR="114300" simplePos="0" relativeHeight="251660288" behindDoc="1" locked="0" layoutInCell="1" allowOverlap="1" wp14:anchorId="2C1744E7" wp14:editId="13BB1F9F">
            <wp:simplePos x="0" y="0"/>
            <wp:positionH relativeFrom="margin">
              <wp:posOffset>1386205</wp:posOffset>
            </wp:positionH>
            <wp:positionV relativeFrom="paragraph">
              <wp:posOffset>5715</wp:posOffset>
            </wp:positionV>
            <wp:extent cx="2838450" cy="2051050"/>
            <wp:effectExtent l="0" t="0" r="0" b="6350"/>
            <wp:wrapThrough wrapText="bothSides">
              <wp:wrapPolygon edited="0">
                <wp:start x="0" y="401"/>
                <wp:lineTo x="0" y="1404"/>
                <wp:lineTo x="9423" y="4012"/>
                <wp:lineTo x="9423" y="16852"/>
                <wp:lineTo x="0" y="18457"/>
                <wp:lineTo x="0" y="19059"/>
                <wp:lineTo x="9423" y="20062"/>
                <wp:lineTo x="0" y="20263"/>
                <wp:lineTo x="0" y="21266"/>
                <wp:lineTo x="10003" y="21466"/>
                <wp:lineTo x="11597" y="21466"/>
                <wp:lineTo x="21455" y="21266"/>
                <wp:lineTo x="21455" y="20263"/>
                <wp:lineTo x="10293" y="20062"/>
                <wp:lineTo x="21455" y="19059"/>
                <wp:lineTo x="21455" y="18457"/>
                <wp:lineTo x="10148" y="16852"/>
                <wp:lineTo x="10293" y="13642"/>
                <wp:lineTo x="17831" y="10432"/>
                <wp:lineTo x="21020" y="10432"/>
                <wp:lineTo x="20875" y="7423"/>
                <wp:lineTo x="16671" y="7222"/>
                <wp:lineTo x="17976" y="6019"/>
                <wp:lineTo x="18121" y="5216"/>
                <wp:lineTo x="17251" y="4012"/>
                <wp:lineTo x="18411" y="2207"/>
                <wp:lineTo x="17831" y="1806"/>
                <wp:lineTo x="13337" y="401"/>
                <wp:lineTo x="0" y="401"/>
              </wp:wrapPolygon>
            </wp:wrapThrough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:rsidR="008C0585" w:rsidRDefault="008C0585" w:rsidP="00CC7E90">
      <w:pPr>
        <w:jc w:val="center"/>
        <w:rPr>
          <w:rFonts w:asciiTheme="majorBidi" w:hAnsiTheme="majorBidi" w:cstheme="majorBidi"/>
          <w:b/>
          <w:bCs/>
          <w:lang w:val="en-GB"/>
        </w:rPr>
      </w:pPr>
    </w:p>
    <w:p w:rsidR="008C0585" w:rsidRDefault="008C0585" w:rsidP="008C0585">
      <w:pPr>
        <w:rPr>
          <w:rFonts w:asciiTheme="majorBidi" w:hAnsiTheme="majorBidi" w:cstheme="majorBidi"/>
          <w:sz w:val="24"/>
          <w:szCs w:val="24"/>
          <w:lang w:val="en-GB"/>
        </w:rPr>
      </w:pPr>
    </w:p>
    <w:p w:rsidR="008C0585" w:rsidRPr="006E0596" w:rsidRDefault="008C0585" w:rsidP="008C0585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lang w:val="en-GB"/>
        </w:rPr>
        <w:t>Fig</w:t>
      </w:r>
      <w:r w:rsidR="003F6518" w:rsidRPr="006E0596">
        <w:rPr>
          <w:rFonts w:ascii="Palatino Linotype" w:hAnsi="Palatino Linotype" w:cstheme="majorBidi"/>
          <w:b/>
          <w:bCs/>
          <w:lang w:val="en-GB"/>
        </w:rPr>
        <w:t>ure S2:</w:t>
      </w:r>
      <w:r w:rsidRPr="006E0596">
        <w:rPr>
          <w:rFonts w:ascii="Palatino Linotype" w:hAnsi="Palatino Linotype" w:cstheme="majorBidi"/>
          <w:b/>
          <w:bCs/>
          <w:lang w:val="en-GB"/>
        </w:rPr>
        <w:t xml:space="preserve"> </w:t>
      </w:r>
      <w:r w:rsidRPr="006E0596">
        <w:rPr>
          <w:rFonts w:ascii="Palatino Linotype" w:hAnsi="Palatino Linotype" w:cstheme="majorBidi"/>
          <w:lang w:val="en-GB"/>
        </w:rPr>
        <w:t>19F NMR spectrum of 4-(N-tert-butylcarbazol-9-yl)-3</w:t>
      </w:r>
      <w:proofErr w:type="gramStart"/>
      <w:r w:rsidRPr="006E0596">
        <w:rPr>
          <w:rFonts w:ascii="Palatino Linotype" w:hAnsi="Palatino Linotype" w:cstheme="majorBidi"/>
          <w:lang w:val="en-GB"/>
        </w:rPr>
        <w:t>,5</w:t>
      </w:r>
      <w:proofErr w:type="gramEnd"/>
      <w:r w:rsidRPr="006E0596">
        <w:rPr>
          <w:rFonts w:ascii="Palatino Linotype" w:hAnsi="Palatino Linotype" w:cstheme="majorBidi"/>
          <w:lang w:val="en-GB"/>
        </w:rPr>
        <w:t>-dichloro-2,6-difluoropyridine (in chloroform, 25°C).</w:t>
      </w:r>
    </w:p>
    <w:p w:rsidR="008C0585" w:rsidRPr="006E0596" w:rsidRDefault="008C0585" w:rsidP="008C0585">
      <w:pPr>
        <w:spacing w:line="360" w:lineRule="auto"/>
        <w:ind w:left="720"/>
        <w:jc w:val="both"/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</w:pPr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The assignment of the ¹³C NMR and DEPT-135 spectra reveals characteristic signals for the different structural groups. The carbon atoms of the tert-butyl groups </w:t>
      </w:r>
      <w:proofErr w:type="gram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are observed</w:t>
      </w:r>
      <w:proofErr w:type="gram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at 34.86 ppm (C4/C15) and 34.36 ppm (C5/C6/C7/C16/C17/C18). The carbazole moiety carbons display distinct chemical shifts at 109.26 ppm (C2/C19), 117.18 ppm (C8/C13), 124.45 ppm (C9/C12), 136.88 ppm (C10/C11), 144.58 ppm (C1/C20), and 148.21 ppm (C3/C14). Integration analysis indicates the presence of approximately 10-15% excess N-</w:t>
      </w:r>
      <w:proofErr w:type="spell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tert</w:t>
      </w:r>
      <w:proofErr w:type="spell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-</w:t>
      </w:r>
      <w:proofErr w:type="spell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butylcarbazole</w:t>
      </w:r>
      <w:proofErr w:type="spell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residue in the sample.</w:t>
      </w:r>
    </w:p>
    <w:p w:rsidR="008C0585" w:rsidRPr="006E0596" w:rsidRDefault="008C0585" w:rsidP="008C0585">
      <w:pPr>
        <w:spacing w:line="360" w:lineRule="auto"/>
        <w:ind w:left="720"/>
        <w:jc w:val="both"/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</w:pPr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The carbon atoms of the substituted pyridine ring </w:t>
      </w:r>
      <w:proofErr w:type="gramStart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>are identified</w:t>
      </w:r>
      <w:proofErr w:type="gramEnd"/>
      <w:r w:rsidRPr="006E0596">
        <w:rPr>
          <w:rFonts w:ascii="Palatino Linotype" w:hAnsi="Palatino Linotype" w:cstheme="majorBidi"/>
          <w:color w:val="000000" w:themeColor="text1"/>
          <w:sz w:val="24"/>
          <w:szCs w:val="24"/>
          <w:lang w:val="en-GB"/>
        </w:rPr>
        <w:t xml:space="preserve"> at 115.16 ppm (C21), 154.49 ppm (C22/C25), and 156.95 ppm (C23/C24). This complete assignment is in perfect agreement with the expected molecular structure and confirms the formation of the target product.</w:t>
      </w:r>
    </w:p>
    <w:p w:rsidR="00CC7E90" w:rsidRPr="006E0596" w:rsidRDefault="00FC67CA" w:rsidP="00CC7E90">
      <w:pPr>
        <w:rPr>
          <w:rFonts w:ascii="Palatino Linotype" w:hAnsi="Palatino Linotype"/>
          <w:lang w:val="en-GB"/>
        </w:rPr>
      </w:pPr>
      <w:r w:rsidRPr="006E0596">
        <w:rPr>
          <w:rFonts w:ascii="Palatino Linotype" w:hAnsi="Palatino Linotype"/>
          <w:noProof/>
          <w:lang w:eastAsia="fr-FR"/>
        </w:rPr>
        <w:lastRenderedPageBreak/>
        <w:drawing>
          <wp:anchor distT="0" distB="0" distL="114300" distR="114300" simplePos="0" relativeHeight="251661312" behindDoc="1" locked="0" layoutInCell="1" allowOverlap="1" wp14:anchorId="5D0F7F99">
            <wp:simplePos x="0" y="0"/>
            <wp:positionH relativeFrom="column">
              <wp:posOffset>1061720</wp:posOffset>
            </wp:positionH>
            <wp:positionV relativeFrom="paragraph">
              <wp:posOffset>5715</wp:posOffset>
            </wp:positionV>
            <wp:extent cx="4238197" cy="2952750"/>
            <wp:effectExtent l="0" t="0" r="0" b="0"/>
            <wp:wrapThrough wrapText="bothSides">
              <wp:wrapPolygon edited="0">
                <wp:start x="0" y="0"/>
                <wp:lineTo x="0" y="557"/>
                <wp:lineTo x="5923" y="2230"/>
                <wp:lineTo x="5923" y="2787"/>
                <wp:lineTo x="12040" y="4459"/>
                <wp:lineTo x="13787" y="4459"/>
                <wp:lineTo x="10874" y="5017"/>
                <wp:lineTo x="10680" y="5853"/>
                <wp:lineTo x="11360" y="6689"/>
                <wp:lineTo x="6214" y="6689"/>
                <wp:lineTo x="5826" y="6828"/>
                <wp:lineTo x="5923" y="8919"/>
                <wp:lineTo x="0" y="9615"/>
                <wp:lineTo x="0" y="11288"/>
                <wp:lineTo x="1553" y="13378"/>
                <wp:lineTo x="1553" y="14354"/>
                <wp:lineTo x="11457" y="15608"/>
                <wp:lineTo x="18254" y="15608"/>
                <wp:lineTo x="3204" y="16444"/>
                <wp:lineTo x="3204" y="17837"/>
                <wp:lineTo x="0" y="18395"/>
                <wp:lineTo x="0" y="21182"/>
                <wp:lineTo x="10098" y="21461"/>
                <wp:lineTo x="11457" y="21461"/>
                <wp:lineTo x="21458" y="21182"/>
                <wp:lineTo x="21458" y="19370"/>
                <wp:lineTo x="18739" y="17837"/>
                <wp:lineTo x="18933" y="11427"/>
                <wp:lineTo x="18254" y="11288"/>
                <wp:lineTo x="11748" y="11148"/>
                <wp:lineTo x="21458" y="10034"/>
                <wp:lineTo x="21458" y="9615"/>
                <wp:lineTo x="18739" y="8919"/>
                <wp:lineTo x="18836" y="4459"/>
                <wp:lineTo x="19224" y="2648"/>
                <wp:lineTo x="19419" y="1115"/>
                <wp:lineTo x="18351" y="836"/>
                <wp:lineTo x="12622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197" cy="295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CC7E90" w:rsidRPr="006E0596" w:rsidRDefault="00CC7E90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841746" w:rsidRPr="006E0596" w:rsidRDefault="00841746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5453CC" w:rsidRPr="006E0596" w:rsidRDefault="005453CC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841746" w:rsidRPr="006E0596" w:rsidRDefault="00841746" w:rsidP="00CC7E90">
      <w:pPr>
        <w:rPr>
          <w:rFonts w:ascii="Palatino Linotype" w:hAnsi="Palatino Linotype" w:cstheme="majorBidi"/>
          <w:sz w:val="24"/>
          <w:szCs w:val="24"/>
          <w:lang w:val="en-GB"/>
        </w:rPr>
      </w:pPr>
    </w:p>
    <w:p w:rsidR="00841746" w:rsidRPr="006E0596" w:rsidRDefault="00841746" w:rsidP="00841746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lang w:val="en-GB"/>
        </w:rPr>
        <w:t>Fig</w:t>
      </w:r>
      <w:r w:rsidR="003F6518" w:rsidRPr="006E0596">
        <w:rPr>
          <w:rFonts w:ascii="Palatino Linotype" w:hAnsi="Palatino Linotype" w:cstheme="majorBidi"/>
          <w:b/>
          <w:bCs/>
          <w:lang w:val="en-GB"/>
        </w:rPr>
        <w:t xml:space="preserve">ure S3: </w:t>
      </w:r>
      <w:r w:rsidRPr="006E0596">
        <w:rPr>
          <w:rFonts w:ascii="Palatino Linotype" w:hAnsi="Palatino Linotype" w:cstheme="majorBidi"/>
          <w:lang w:val="en-GB"/>
        </w:rPr>
        <w:t>13C NMR and DEPT-135 spectra of 4-(N-tert-butylcarbazol-9-yl)-3</w:t>
      </w:r>
      <w:proofErr w:type="gramStart"/>
      <w:r w:rsidRPr="006E0596">
        <w:rPr>
          <w:rFonts w:ascii="Palatino Linotype" w:hAnsi="Palatino Linotype" w:cstheme="majorBidi"/>
          <w:lang w:val="en-GB"/>
        </w:rPr>
        <w:t>,5</w:t>
      </w:r>
      <w:proofErr w:type="gramEnd"/>
      <w:r w:rsidRPr="006E0596">
        <w:rPr>
          <w:rFonts w:ascii="Palatino Linotype" w:hAnsi="Palatino Linotype" w:cstheme="majorBidi"/>
          <w:lang w:val="en-GB"/>
        </w:rPr>
        <w:t>-dichloro-2,6-difluoropyridine (in chloroform, 25°C).</w:t>
      </w: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  <w:r w:rsidRPr="006E0596">
        <w:rPr>
          <w:rFonts w:ascii="Palatino Linotype" w:hAnsi="Palatino Linotype" w:cstheme="majorBidi"/>
          <w:b/>
          <w:bCs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2336" behindDoc="1" locked="0" layoutInCell="1" allowOverlap="1" wp14:anchorId="1A48CFFC">
            <wp:simplePos x="0" y="0"/>
            <wp:positionH relativeFrom="margin">
              <wp:posOffset>702945</wp:posOffset>
            </wp:positionH>
            <wp:positionV relativeFrom="paragraph">
              <wp:posOffset>0</wp:posOffset>
            </wp:positionV>
            <wp:extent cx="4438015" cy="3084830"/>
            <wp:effectExtent l="0" t="0" r="635" b="1270"/>
            <wp:wrapThrough wrapText="bothSides">
              <wp:wrapPolygon edited="0">
                <wp:start x="0" y="0"/>
                <wp:lineTo x="0" y="1867"/>
                <wp:lineTo x="464" y="2134"/>
                <wp:lineTo x="1205" y="4268"/>
                <wp:lineTo x="464" y="6403"/>
                <wp:lineTo x="464" y="6669"/>
                <wp:lineTo x="1205" y="8537"/>
                <wp:lineTo x="1298" y="10671"/>
                <wp:lineTo x="556" y="11205"/>
                <wp:lineTo x="371" y="11605"/>
                <wp:lineTo x="371" y="14939"/>
                <wp:lineTo x="0" y="16940"/>
                <wp:lineTo x="0" y="21342"/>
                <wp:lineTo x="10106" y="21476"/>
                <wp:lineTo x="11497" y="21476"/>
                <wp:lineTo x="21510" y="21209"/>
                <wp:lineTo x="21510" y="18674"/>
                <wp:lineTo x="21047" y="17074"/>
                <wp:lineTo x="21140" y="10671"/>
                <wp:lineTo x="21510" y="9070"/>
                <wp:lineTo x="21418" y="5736"/>
                <wp:lineTo x="21047" y="4268"/>
                <wp:lineTo x="21418" y="3068"/>
                <wp:lineTo x="21418" y="2534"/>
                <wp:lineTo x="21047" y="2134"/>
                <wp:lineTo x="21325" y="667"/>
                <wp:lineTo x="20398" y="534"/>
                <wp:lineTo x="9457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5" cy="3084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CC7E90" w:rsidRPr="006E0596" w:rsidRDefault="00CC7E90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lang w:val="en-GB"/>
        </w:rPr>
        <w:t>Fig</w:t>
      </w:r>
      <w:r w:rsidR="003F6518" w:rsidRPr="006E0596">
        <w:rPr>
          <w:rFonts w:ascii="Palatino Linotype" w:hAnsi="Palatino Linotype" w:cstheme="majorBidi"/>
          <w:b/>
          <w:bCs/>
          <w:lang w:val="en-GB"/>
        </w:rPr>
        <w:t>ure S4:</w:t>
      </w:r>
      <w:r w:rsidRPr="006E0596">
        <w:rPr>
          <w:rFonts w:ascii="Palatino Linotype" w:hAnsi="Palatino Linotype" w:cstheme="majorBidi"/>
          <w:b/>
          <w:bCs/>
          <w:lang w:val="en-GB"/>
        </w:rPr>
        <w:t xml:space="preserve"> </w:t>
      </w:r>
      <w:r w:rsidRPr="006E0596">
        <w:rPr>
          <w:rFonts w:ascii="Palatino Linotype" w:hAnsi="Palatino Linotype" w:cstheme="majorBidi"/>
          <w:lang w:val="en-GB"/>
        </w:rPr>
        <w:t>1H NMR spectrum of 2</w:t>
      </w:r>
      <w:proofErr w:type="gramStart"/>
      <w:r w:rsidRPr="006E0596">
        <w:rPr>
          <w:rFonts w:ascii="Palatino Linotype" w:hAnsi="Palatino Linotype" w:cstheme="majorBidi"/>
          <w:lang w:val="en-GB"/>
        </w:rPr>
        <w:t>,4,6</w:t>
      </w:r>
      <w:proofErr w:type="gramEnd"/>
      <w:r w:rsidRPr="006E0596">
        <w:rPr>
          <w:rFonts w:ascii="Palatino Linotype" w:hAnsi="Palatino Linotype" w:cstheme="majorBidi"/>
          <w:lang w:val="en-GB"/>
        </w:rPr>
        <w:t>-Tris(9-(tert-butyl)carbazol-3-yl)-3,5-dichloropyridine (in chloroform, 25°C).</w:t>
      </w: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noProof/>
          <w:lang w:eastAsia="fr-FR"/>
        </w:rPr>
        <w:drawing>
          <wp:anchor distT="0" distB="0" distL="114300" distR="114300" simplePos="0" relativeHeight="251663360" behindDoc="1" locked="0" layoutInCell="1" allowOverlap="1" wp14:anchorId="248ECBB6">
            <wp:simplePos x="0" y="0"/>
            <wp:positionH relativeFrom="margin">
              <wp:align>center</wp:align>
            </wp:positionH>
            <wp:positionV relativeFrom="paragraph">
              <wp:posOffset>45085</wp:posOffset>
            </wp:positionV>
            <wp:extent cx="4343400" cy="3029585"/>
            <wp:effectExtent l="0" t="0" r="0" b="0"/>
            <wp:wrapThrough wrapText="bothSides">
              <wp:wrapPolygon edited="0">
                <wp:start x="0" y="0"/>
                <wp:lineTo x="0" y="543"/>
                <wp:lineTo x="10800" y="2173"/>
                <wp:lineTo x="10800" y="4346"/>
                <wp:lineTo x="0" y="5976"/>
                <wp:lineTo x="0" y="6384"/>
                <wp:lineTo x="10800" y="6519"/>
                <wp:lineTo x="8526" y="10187"/>
                <wp:lineTo x="8621" y="10866"/>
                <wp:lineTo x="7863" y="12088"/>
                <wp:lineTo x="7484" y="12903"/>
                <wp:lineTo x="7105" y="14669"/>
                <wp:lineTo x="7105" y="15212"/>
                <wp:lineTo x="7484" y="15212"/>
                <wp:lineTo x="7484" y="16570"/>
                <wp:lineTo x="8242" y="17385"/>
                <wp:lineTo x="9379" y="17385"/>
                <wp:lineTo x="10705" y="19558"/>
                <wp:lineTo x="0" y="20237"/>
                <wp:lineTo x="0" y="21188"/>
                <wp:lineTo x="10137" y="21460"/>
                <wp:lineTo x="11463" y="21460"/>
                <wp:lineTo x="21505" y="21188"/>
                <wp:lineTo x="21505" y="20237"/>
                <wp:lineTo x="10895" y="19558"/>
                <wp:lineTo x="12316" y="17385"/>
                <wp:lineTo x="13263" y="17385"/>
                <wp:lineTo x="14684" y="16027"/>
                <wp:lineTo x="14779" y="15212"/>
                <wp:lineTo x="14305" y="12903"/>
                <wp:lineTo x="13832" y="11952"/>
                <wp:lineTo x="13263" y="10322"/>
                <wp:lineTo x="12789" y="9507"/>
                <wp:lineTo x="11842" y="8693"/>
                <wp:lineTo x="12316" y="8557"/>
                <wp:lineTo x="12032" y="8013"/>
                <wp:lineTo x="10800" y="6519"/>
                <wp:lineTo x="21505" y="6384"/>
                <wp:lineTo x="21505" y="5976"/>
                <wp:lineTo x="10705" y="4346"/>
                <wp:lineTo x="10705" y="1222"/>
                <wp:lineTo x="10232" y="0"/>
                <wp:lineTo x="9947" y="0"/>
                <wp:lineTo x="0" y="0"/>
              </wp:wrapPolygon>
            </wp:wrapThrough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02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F6518" w:rsidP="003D2455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lang w:val="en-GB"/>
        </w:rPr>
        <w:t xml:space="preserve">Figure S5: </w:t>
      </w:r>
      <w:r w:rsidR="003D2455" w:rsidRPr="006E0596">
        <w:rPr>
          <w:rFonts w:ascii="Palatino Linotype" w:hAnsi="Palatino Linotype" w:cstheme="majorBidi"/>
          <w:lang w:val="en-GB"/>
        </w:rPr>
        <w:t>19F NMR spectrum of 2</w:t>
      </w:r>
      <w:proofErr w:type="gramStart"/>
      <w:r w:rsidR="003D2455" w:rsidRPr="006E0596">
        <w:rPr>
          <w:rFonts w:ascii="Palatino Linotype" w:hAnsi="Palatino Linotype" w:cstheme="majorBidi"/>
          <w:lang w:val="en-GB"/>
        </w:rPr>
        <w:t>,4,6</w:t>
      </w:r>
      <w:proofErr w:type="gramEnd"/>
      <w:r w:rsidR="003D2455" w:rsidRPr="006E0596">
        <w:rPr>
          <w:rFonts w:ascii="Palatino Linotype" w:hAnsi="Palatino Linotype" w:cstheme="majorBidi"/>
          <w:lang w:val="en-GB"/>
        </w:rPr>
        <w:t>-Tris(9-(tert-butyl)carbazol-3-yl)-3,5-dichloropyridine (in chloroform, 25°C).</w:t>
      </w: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  <w:r w:rsidRPr="006E0596">
        <w:rPr>
          <w:rFonts w:ascii="Palatino Linotype" w:hAnsi="Palatino Linotype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09D5850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92345" cy="3343513"/>
            <wp:effectExtent l="0" t="0" r="8255" b="9525"/>
            <wp:wrapThrough wrapText="bothSides">
              <wp:wrapPolygon edited="0">
                <wp:start x="0" y="0"/>
                <wp:lineTo x="0" y="615"/>
                <wp:lineTo x="4808" y="2092"/>
                <wp:lineTo x="4808" y="3815"/>
                <wp:lineTo x="5753" y="4062"/>
                <wp:lineTo x="11591" y="4062"/>
                <wp:lineTo x="7642" y="5292"/>
                <wp:lineTo x="5924" y="5908"/>
                <wp:lineTo x="5066" y="6769"/>
                <wp:lineTo x="4894" y="7138"/>
                <wp:lineTo x="4980" y="8000"/>
                <wp:lineTo x="0" y="9723"/>
                <wp:lineTo x="0" y="11446"/>
                <wp:lineTo x="687" y="11938"/>
                <wp:lineTo x="944" y="14277"/>
                <wp:lineTo x="4036" y="15877"/>
                <wp:lineTo x="1030" y="16123"/>
                <wp:lineTo x="687" y="16246"/>
                <wp:lineTo x="773" y="17846"/>
                <wp:lineTo x="0" y="19569"/>
                <wp:lineTo x="0" y="21169"/>
                <wp:lineTo x="10132" y="21538"/>
                <wp:lineTo x="11505" y="21538"/>
                <wp:lineTo x="21551" y="21169"/>
                <wp:lineTo x="21551" y="20308"/>
                <wp:lineTo x="10819" y="19815"/>
                <wp:lineTo x="21551" y="19815"/>
                <wp:lineTo x="21551" y="19569"/>
                <wp:lineTo x="20779" y="17846"/>
                <wp:lineTo x="20779" y="11938"/>
                <wp:lineTo x="21551" y="10092"/>
                <wp:lineTo x="21551" y="9846"/>
                <wp:lineTo x="20779" y="8000"/>
                <wp:lineTo x="21036" y="615"/>
                <wp:lineTo x="19147" y="246"/>
                <wp:lineTo x="11420" y="0"/>
                <wp:lineTo x="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45" cy="3343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1625C4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1625C4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1625C4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1625C4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1625C4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D2455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1625C4" w:rsidRPr="006E0596" w:rsidRDefault="001625C4" w:rsidP="00CC7E90">
      <w:pPr>
        <w:jc w:val="center"/>
        <w:rPr>
          <w:rFonts w:ascii="Palatino Linotype" w:hAnsi="Palatino Linotype" w:cstheme="majorBidi"/>
          <w:b/>
          <w:bCs/>
          <w:sz w:val="24"/>
          <w:szCs w:val="24"/>
          <w:lang w:val="en-GB"/>
        </w:rPr>
      </w:pPr>
    </w:p>
    <w:p w:rsidR="003D2455" w:rsidRPr="006E0596" w:rsidRDefault="003F6518" w:rsidP="003D2455">
      <w:pPr>
        <w:jc w:val="center"/>
        <w:rPr>
          <w:rFonts w:ascii="Palatino Linotype" w:hAnsi="Palatino Linotype" w:cstheme="majorBidi"/>
          <w:b/>
          <w:bCs/>
          <w:lang w:val="en-GB"/>
        </w:rPr>
      </w:pPr>
      <w:r w:rsidRPr="006E0596">
        <w:rPr>
          <w:rFonts w:ascii="Palatino Linotype" w:hAnsi="Palatino Linotype" w:cstheme="majorBidi"/>
          <w:b/>
          <w:bCs/>
          <w:lang w:val="en-GB"/>
        </w:rPr>
        <w:t xml:space="preserve">Figure S6: </w:t>
      </w:r>
      <w:r w:rsidR="003D2455" w:rsidRPr="006E0596">
        <w:rPr>
          <w:rFonts w:ascii="Palatino Linotype" w:hAnsi="Palatino Linotype" w:cstheme="majorBidi"/>
          <w:lang w:val="en-GB"/>
        </w:rPr>
        <w:t>13C NMR and DEPT-135 spectra of 2</w:t>
      </w:r>
      <w:proofErr w:type="gramStart"/>
      <w:r w:rsidR="003D2455" w:rsidRPr="006E0596">
        <w:rPr>
          <w:rFonts w:ascii="Palatino Linotype" w:hAnsi="Palatino Linotype" w:cstheme="majorBidi"/>
          <w:lang w:val="en-GB"/>
        </w:rPr>
        <w:t>,4,6</w:t>
      </w:r>
      <w:proofErr w:type="gramEnd"/>
      <w:r w:rsidR="003D2455" w:rsidRPr="006E0596">
        <w:rPr>
          <w:rFonts w:ascii="Palatino Linotype" w:hAnsi="Palatino Linotype" w:cstheme="majorBidi"/>
          <w:lang w:val="en-GB"/>
        </w:rPr>
        <w:t>-Tris(9-(tert-butyl)carbazol-3-yl)-3,5-dichloropyridine (in chloroform, 25°C).</w:t>
      </w:r>
    </w:p>
    <w:sectPr w:rsidR="003D2455" w:rsidRPr="006E0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2E"/>
    <w:rsid w:val="000255FD"/>
    <w:rsid w:val="00080118"/>
    <w:rsid w:val="001625C4"/>
    <w:rsid w:val="00360427"/>
    <w:rsid w:val="003D2455"/>
    <w:rsid w:val="003F6518"/>
    <w:rsid w:val="00432968"/>
    <w:rsid w:val="005453CC"/>
    <w:rsid w:val="006B6EED"/>
    <w:rsid w:val="006E0596"/>
    <w:rsid w:val="00734EBD"/>
    <w:rsid w:val="00841746"/>
    <w:rsid w:val="0088712E"/>
    <w:rsid w:val="008C0585"/>
    <w:rsid w:val="008E7F7A"/>
    <w:rsid w:val="00C67EBB"/>
    <w:rsid w:val="00CC7E90"/>
    <w:rsid w:val="00FC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D1592-7713-4F69-9B46-8CD9FA1C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4EB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4E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34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378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16</cp:revision>
  <dcterms:created xsi:type="dcterms:W3CDTF">2025-12-18T15:07:00Z</dcterms:created>
  <dcterms:modified xsi:type="dcterms:W3CDTF">2026-05-19T14:42:00Z</dcterms:modified>
</cp:coreProperties>
</file>