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E3B5F">
      <w:pPr>
        <w:spacing w:before="0" w:after="0" w:line="480" w:lineRule="auto"/>
        <w:jc w:val="left"/>
        <w:rPr>
          <w:rFonts w:ascii="Times New Roman" w:hAnsi="Times New Roman" w:eastAsia="等线" w:cs="Times New Roman"/>
          <w:b/>
          <w:color w:val="000000"/>
          <w:sz w:val="24"/>
          <w:szCs w:val="24"/>
        </w:rPr>
      </w:pPr>
      <w:bookmarkStart w:id="2" w:name="_GoBack"/>
      <w:bookmarkEnd w:id="2"/>
      <w:r>
        <w:rPr>
          <w:rFonts w:hint="eastAsia" w:ascii="Times New Roman" w:hAnsi="Times New Roman" w:eastAsia="等线" w:cs="Times New Roman"/>
          <w:b/>
          <w:color w:val="000000"/>
          <w:sz w:val="24"/>
          <w:szCs w:val="24"/>
        </w:rPr>
        <w:t>Supplementary Material for:</w:t>
      </w:r>
    </w:p>
    <w:p w14:paraId="3188BA67">
      <w:pPr>
        <w:widowControl/>
        <w:spacing w:before="0" w:after="156" w:afterLines="5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Effects of conversion from Chinese fir plantation to oak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plantations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on soil bacterial community characteristics</w:t>
      </w:r>
    </w:p>
    <w:p w14:paraId="6563C3E1">
      <w:pPr>
        <w:widowControl/>
        <w:spacing w:before="0" w:after="156" w:afterLines="50" w:line="480" w:lineRule="auto"/>
        <w:rPr>
          <w:rFonts w:ascii="Calibri" w:hAnsi="Calibri" w:eastAsia="宋体" w:cs="Times New Roman"/>
          <w:sz w:val="24"/>
          <w:szCs w:val="21"/>
        </w:rPr>
      </w:pPr>
      <w:r>
        <w:rPr>
          <w:rFonts w:ascii="Times New Roman" w:hAnsi="Times New Roman" w:eastAsia="宋体" w:cs="Times New Roman"/>
          <w:sz w:val="24"/>
          <w:szCs w:val="21"/>
        </w:rPr>
        <w:t xml:space="preserve">Kai Huang </w:t>
      </w:r>
      <w:r>
        <w:rPr>
          <w:rFonts w:hint="eastAsia" w:ascii="Times New Roman" w:hAnsi="Times New Roman" w:eastAsia="宋体" w:cs="Times New Roman"/>
          <w:sz w:val="24"/>
          <w:szCs w:val="21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1"/>
          <w:vertAlign w:val="superscript"/>
        </w:rPr>
        <w:t>,</w:t>
      </w:r>
      <w:r>
        <w:rPr>
          <w:rFonts w:hint="eastAsia" w:ascii="Times New Roman" w:hAnsi="Times New Roman" w:eastAsia="宋体" w:cs="Times New Roman"/>
          <w:sz w:val="24"/>
          <w:szCs w:val="21"/>
          <w:vertAlign w:val="superscript"/>
        </w:rPr>
        <w:t xml:space="preserve"> b</w:t>
      </w:r>
      <w:r>
        <w:rPr>
          <w:rFonts w:ascii="Times New Roman" w:hAnsi="Times New Roman" w:eastAsia="宋体" w:cs="Times New Roman"/>
          <w:sz w:val="24"/>
          <w:szCs w:val="21"/>
        </w:rPr>
        <w:t>, Gang Liu</w:t>
      </w:r>
      <w:r>
        <w:rPr>
          <w:rFonts w:hint="eastAsia" w:ascii="Times New Roman" w:hAnsi="Times New Roman" w:eastAsia="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1"/>
          <w:vertAlign w:val="superscript"/>
        </w:rPr>
        <w:t>c</w:t>
      </w:r>
      <w:r>
        <w:rPr>
          <w:rFonts w:hint="eastAsia" w:ascii="Times New Roman" w:hAnsi="Times New Roman" w:eastAsia="宋体" w:cs="Times New Roman"/>
          <w:sz w:val="24"/>
          <w:szCs w:val="21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 xml:space="preserve">Yongbin Qiu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eastAsia="宋体" w:cs="Times New Roman"/>
          <w:sz w:val="24"/>
          <w:szCs w:val="21"/>
        </w:rPr>
        <w:t xml:space="preserve"> Jiasen Wu </w:t>
      </w:r>
      <w:r>
        <w:rPr>
          <w:rFonts w:hint="eastAsia" w:ascii="Times New Roman" w:hAnsi="Times New Roman" w:eastAsia="宋体" w:cs="Times New Roman"/>
          <w:sz w:val="24"/>
          <w:szCs w:val="21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1"/>
          <w:vertAlign w:val="superscript"/>
        </w:rPr>
        <w:t>,</w:t>
      </w:r>
      <w:r>
        <w:rPr>
          <w:rFonts w:hint="eastAsia" w:ascii="Times New Roman" w:hAnsi="Times New Roman" w:eastAsia="宋体" w:cs="Times New Roman"/>
          <w:sz w:val="24"/>
          <w:szCs w:val="21"/>
          <w:vertAlign w:val="superscript"/>
        </w:rPr>
        <w:t xml:space="preserve"> b</w:t>
      </w:r>
      <w:r>
        <w:rPr>
          <w:rFonts w:ascii="Times New Roman" w:hAnsi="Times New Roman" w:eastAsia="宋体" w:cs="Times New Roman"/>
          <w:sz w:val="24"/>
          <w:szCs w:val="21"/>
          <w:vertAlign w:val="superscript"/>
        </w:rPr>
        <w:t xml:space="preserve"> *</w:t>
      </w:r>
      <w:r>
        <w:rPr>
          <w:rFonts w:hint="eastAsia" w:ascii="Calibri" w:hAnsi="Calibri" w:eastAsia="宋体" w:cs="Times New Roman"/>
          <w:sz w:val="24"/>
          <w:szCs w:val="21"/>
        </w:rPr>
        <w:t xml:space="preserve"> </w:t>
      </w:r>
    </w:p>
    <w:p w14:paraId="3F5E6D00">
      <w:pPr>
        <w:widowControl/>
        <w:spacing w:before="0" w:after="156" w:afterLines="50" w:line="480" w:lineRule="auto"/>
        <w:rPr>
          <w:rFonts w:ascii="Times New Roman" w:hAnsi="Times New Roman" w:eastAsia="宋体" w:cs="Times New Roman"/>
          <w:sz w:val="24"/>
          <w:szCs w:val="21"/>
          <w:vertAlign w:val="superscript"/>
        </w:rPr>
      </w:pPr>
    </w:p>
    <w:p w14:paraId="24885FCF">
      <w:pPr>
        <w:widowControl/>
        <w:spacing w:before="0" w:after="156" w:afterLines="50" w:line="480" w:lineRule="auto"/>
        <w:rPr>
          <w:rFonts w:ascii="Times New Roman" w:hAnsi="Times New Roman" w:eastAsia="宋体" w:cs="Times New Roman"/>
          <w:sz w:val="24"/>
          <w:szCs w:val="21"/>
        </w:rPr>
      </w:pPr>
      <w:r>
        <w:rPr>
          <w:rFonts w:hint="eastAsia" w:ascii="Times New Roman" w:hAnsi="Times New Roman" w:eastAsia="宋体" w:cs="Times New Roman"/>
          <w:sz w:val="24"/>
          <w:szCs w:val="21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1"/>
        </w:rPr>
        <w:t xml:space="preserve"> State Key Laboratory for Development and Utilization of Forest Food Resources, Zhejiang A&amp;F University, Hangzhou, 311300, China</w:t>
      </w:r>
    </w:p>
    <w:p w14:paraId="1ED054A1">
      <w:pPr>
        <w:widowControl/>
        <w:spacing w:before="156" w:beforeLines="50" w:after="156" w:afterLines="50"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>College of Environment and Resources, Zhejiang A&amp;F University, Hangzhou 311300, China</w:t>
      </w:r>
    </w:p>
    <w:p w14:paraId="394B6274">
      <w:pPr>
        <w:widowControl/>
        <w:spacing w:before="156" w:beforeLines="50" w:after="156" w:afterLines="50"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vertAlign w:val="superscript"/>
        </w:rPr>
        <w:t xml:space="preserve">c </w:t>
      </w:r>
      <w:r>
        <w:rPr>
          <w:rFonts w:ascii="Times New Roman" w:hAnsi="Times New Roman" w:eastAsia="等线" w:cs="Times New Roman"/>
          <w:sz w:val="24"/>
          <w:szCs w:val="24"/>
        </w:rPr>
        <w:t>Zhejiang Provincial Forestry Carbon Sink Management Center, Hangzhou 310020, China</w:t>
      </w:r>
    </w:p>
    <w:p w14:paraId="1C0CDE4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 xml:space="preserve">Kaihua Forest Farm of Zhejiang Province, </w:t>
      </w:r>
      <w:r>
        <w:rPr>
          <w:rFonts w:hint="eastAsia" w:ascii="Times New Roman" w:hAnsi="Times New Roman" w:cs="Times New Roman"/>
          <w:sz w:val="24"/>
          <w:szCs w:val="24"/>
        </w:rPr>
        <w:t>QuZhou</w:t>
      </w:r>
      <w:r>
        <w:rPr>
          <w:rFonts w:ascii="Times New Roman" w:hAnsi="Times New Roman" w:cs="Times New Roman"/>
          <w:sz w:val="24"/>
          <w:szCs w:val="24"/>
        </w:rPr>
        <w:t xml:space="preserve"> 324300, China</w:t>
      </w:r>
    </w:p>
    <w:p w14:paraId="34B8E180">
      <w:pPr>
        <w:widowControl/>
        <w:spacing w:before="156" w:beforeLines="50" w:after="156" w:afterLines="50" w:line="480" w:lineRule="auto"/>
        <w:rPr>
          <w:rFonts w:ascii="Times New Roman" w:hAnsi="Times New Roman" w:eastAsia="等线" w:cs="Times New Roman"/>
          <w:iCs/>
          <w:sz w:val="24"/>
          <w:szCs w:val="24"/>
        </w:rPr>
      </w:pPr>
      <w:r>
        <w:rPr>
          <w:rFonts w:ascii="Times New Roman" w:hAnsi="Times New Roman" w:eastAsia="等线" w:cs="Times New Roman"/>
          <w:iCs/>
          <w:sz w:val="24"/>
          <w:szCs w:val="24"/>
        </w:rPr>
        <w:t xml:space="preserve">Corresponding author: </w:t>
      </w:r>
      <w:r>
        <w:rPr>
          <w:rFonts w:hint="eastAsia" w:ascii="Times New Roman" w:hAnsi="Times New Roman" w:eastAsia="等线" w:cs="Times New Roman"/>
          <w:iCs/>
          <w:sz w:val="24"/>
          <w:szCs w:val="24"/>
        </w:rPr>
        <w:t>Jiasen Wu</w:t>
      </w:r>
    </w:p>
    <w:p w14:paraId="33AFC7D0">
      <w:pPr>
        <w:spacing w:before="0" w:after="0" w:line="480" w:lineRule="auto"/>
        <w:rPr>
          <w:rFonts w:ascii="Times New Roman" w:hAnsi="Times New Roman" w:eastAsia="等线" w:cs="Times New Roman"/>
          <w:sz w:val="24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等线" w:cs="Times New Roman"/>
          <w:sz w:val="24"/>
          <w:szCs w:val="24"/>
          <w:lang w:bidi="ar"/>
        </w:rPr>
        <w:t>*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E-mail address:</w:t>
      </w:r>
      <w:r>
        <w:rPr>
          <w:rFonts w:ascii="Times New Roman" w:hAnsi="Times New Roman" w:eastAsia="宋体" w:cs="Times New Roman"/>
          <w:color w:val="2D53A0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>jswu@zafu.edu</w:t>
      </w:r>
      <w:r>
        <w:rPr>
          <w:rFonts w:hint="eastAsia" w:ascii="Times New Roman" w:hAnsi="Times New Roman" w:eastAsia="等线" w:cs="Times New Roman"/>
          <w:sz w:val="24"/>
          <w:szCs w:val="24"/>
        </w:rPr>
        <w:t>.cn</w:t>
      </w:r>
    </w:p>
    <w:p w14:paraId="79914802">
      <w:pPr>
        <w:keepNext/>
        <w:spacing w:before="0" w:after="0" w:line="480" w:lineRule="auto"/>
        <w:rPr>
          <w:rFonts w:ascii="Times New Roman" w:hAnsi="Times New Roman" w:eastAsia="宋体" w:cs="Times New Roman"/>
          <w:color w:val="000000"/>
          <w:szCs w:val="21"/>
        </w:rPr>
      </w:pPr>
    </w:p>
    <w:p w14:paraId="55845F93">
      <w:pPr>
        <w:keepNext/>
        <w:spacing w:before="0" w:after="0" w:line="480" w:lineRule="auto"/>
        <w:ind w:left="-619" w:leftChars="-295"/>
        <w:rPr>
          <w:rFonts w:ascii="Calibri" w:hAnsi="Calibri" w:eastAsia="宋体" w:cs="Times New Roman"/>
          <w:szCs w:val="24"/>
        </w:rPr>
      </w:pPr>
      <w:r>
        <w:rPr>
          <w:rFonts w:ascii="Times New Roman" w:hAnsi="Times New Roman" w:eastAsia="宋体" w:cs="Times New Roman"/>
          <w:color w:val="000000"/>
          <w:szCs w:val="21"/>
        </w:rPr>
        <w:drawing>
          <wp:inline distT="0" distB="0" distL="114300" distR="114300">
            <wp:extent cx="5464175" cy="5826125"/>
            <wp:effectExtent l="0" t="0" r="317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2" r="47391" b="57251"/>
                    <a:stretch>
                      <a:fillRect/>
                    </a:stretch>
                  </pic:blipFill>
                  <pic:spPr>
                    <a:xfrm>
                      <a:off x="0" y="0"/>
                      <a:ext cx="5469438" cy="58314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6524">
      <w:pPr>
        <w:spacing w:before="0" w:after="0"/>
        <w:rPr>
          <w:rFonts w:ascii="Times New Roman" w:hAnsi="Times New Roman" w:eastAsia="黑体" w:cs="Times New Roman"/>
          <w:color w:val="000000"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instrText xml:space="preserve"> SEQ Figure_S \* ARABIC </w:instrTex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t>1</w: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eastAsia="黑体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color w:val="000000"/>
          <w:sz w:val="24"/>
          <w:szCs w:val="24"/>
        </w:rPr>
        <w:t>Geographic locations of soil sampling sites (a) and distribution map of sampling sites (b) in the subtropical region of China</w:t>
      </w:r>
      <w:r>
        <w:rPr>
          <w:rFonts w:ascii="Times New Roman" w:hAnsi="Times New Roman" w:eastAsia="黑体" w:cs="Times New Roman"/>
          <w:bCs/>
          <w:color w:val="000000"/>
          <w:sz w:val="24"/>
          <w:szCs w:val="24"/>
        </w:rPr>
        <w:t>.</w:t>
      </w:r>
    </w:p>
    <w:p w14:paraId="645BEEA4">
      <w:pPr>
        <w:spacing w:before="0" w:after="0"/>
        <w:jc w:val="left"/>
        <w:rPr>
          <w:rFonts w:ascii="Times New Roman" w:hAnsi="Times New Roman" w:eastAsia="宋体" w:cs="Times New Roman"/>
          <w:sz w:val="24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DEFE3E">
      <w:pPr>
        <w:spacing w:before="0" w:after="0" w:line="360" w:lineRule="auto"/>
        <w:rPr>
          <w:rFonts w:ascii="Times New Roman" w:hAnsi="Times New Roman" w:eastAsia="等线" w:cs="Times New Roman"/>
          <w:bCs/>
          <w:i/>
          <w:iCs/>
          <w:color w:val="000000"/>
          <w:sz w:val="20"/>
          <w:szCs w:val="21"/>
        </w:rPr>
      </w:pPr>
    </w:p>
    <w:p w14:paraId="46CC633F">
      <w:pPr>
        <w:keepNext/>
        <w:spacing w:before="0" w:after="0"/>
        <w:jc w:val="left"/>
      </w:pPr>
      <w:r>
        <w:rPr>
          <w:rFonts w:hint="eastAsia" w:ascii="Times New Roman" w:hAnsi="Times New Roman" w:eastAsia="等线" w:cs="Times New Roman"/>
          <w:b/>
          <w:color w:val="000000"/>
          <w:sz w:val="24"/>
          <w:szCs w:val="24"/>
        </w:rPr>
        <w:drawing>
          <wp:inline distT="0" distB="0" distL="114300" distR="114300">
            <wp:extent cx="5098415" cy="4751070"/>
            <wp:effectExtent l="0" t="0" r="6985" b="11430"/>
            <wp:docPr id="1" name="图片 1" descr="lef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efs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8415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82FBF">
      <w:pPr>
        <w:pStyle w:val="11"/>
        <w:rPr>
          <w:rFonts w:ascii="Calibri" w:hAnsi="Calibri" w:eastAsia="宋体" w:cs="Times New Roman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Figure_S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Bar plots indicating the phylogenetic distribution of bacterial lineages associated with </w:t>
      </w:r>
      <w:r>
        <w:rPr>
          <w:rFonts w:hint="eastAsia" w:ascii="Times New Roman" w:hAnsi="Times New Roman" w:cs="Times New Roman"/>
          <w:sz w:val="24"/>
          <w:szCs w:val="28"/>
        </w:rPr>
        <w:t>CL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hint="eastAsia" w:ascii="Times New Roman" w:hAnsi="Times New Roman" w:cs="Times New Roman"/>
          <w:sz w:val="24"/>
          <w:szCs w:val="28"/>
        </w:rPr>
        <w:t>QG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hint="eastAsia" w:ascii="Times New Roman" w:hAnsi="Times New Roman" w:cs="Times New Roman"/>
          <w:sz w:val="24"/>
          <w:szCs w:val="28"/>
        </w:rPr>
        <w:t>CF, CH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hint="eastAsia" w:ascii="Times New Roman" w:hAnsi="Times New Roman" w:cs="Times New Roman"/>
          <w:sz w:val="24"/>
          <w:szCs w:val="28"/>
        </w:rPr>
        <w:t>QF</w:t>
      </w:r>
      <w:r>
        <w:rPr>
          <w:rFonts w:ascii="Times New Roman" w:hAnsi="Times New Roman" w:cs="Times New Roman"/>
          <w:sz w:val="24"/>
          <w:szCs w:val="28"/>
        </w:rPr>
        <w:t>. LDA scores showed significant microbial differences among groups (log LDA &gt; 3.0). C</w:t>
      </w:r>
      <w:r>
        <w:rPr>
          <w:rFonts w:hint="eastAsia" w:ascii="Times New Roman" w:hAnsi="Times New Roman" w:cs="Times New Roman"/>
          <w:sz w:val="24"/>
          <w:szCs w:val="28"/>
        </w:rPr>
        <w:t>L</w:t>
      </w:r>
      <w:r>
        <w:rPr>
          <w:rFonts w:ascii="Times New Roman" w:hAnsi="Times New Roman" w:cs="Times New Roman"/>
          <w:sz w:val="24"/>
          <w:szCs w:val="28"/>
        </w:rPr>
        <w:t>,</w:t>
      </w:r>
      <w:r>
        <w:rPr>
          <w:rFonts w:hint="eastAsia" w:ascii="Arial" w:hAnsi="Arial" w:cs="Times New Roman"/>
          <w:sz w:val="24"/>
          <w:szCs w:val="28"/>
        </w:rPr>
        <w:t xml:space="preserve"> </w:t>
      </w:r>
      <w:r>
        <w:rPr>
          <w:rFonts w:hint="eastAsia" w:ascii="Times New Roman" w:hAnsi="Times New Roman" w:eastAsia="等线" w:cs="Times New Roman"/>
          <w:bCs/>
          <w:i/>
          <w:iCs/>
          <w:color w:val="000000"/>
          <w:sz w:val="24"/>
          <w:szCs w:val="28"/>
        </w:rPr>
        <w:t>Cunninghamia lanceolata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>
        <w:rPr>
          <w:rFonts w:hint="eastAsia" w:ascii="Times New Roman" w:hAnsi="Times New Roman" w:cs="Times New Roman"/>
          <w:sz w:val="24"/>
          <w:szCs w:val="28"/>
        </w:rPr>
        <w:t>QG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hint="eastAsia" w:ascii="Times New Roman" w:hAnsi="Times New Roman" w:eastAsia="等线" w:cs="Times New Roman"/>
          <w:bCs/>
          <w:i/>
          <w:iCs/>
          <w:color w:val="000000"/>
          <w:sz w:val="24"/>
          <w:szCs w:val="28"/>
        </w:rPr>
        <w:t>Quercus glauca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>
        <w:rPr>
          <w:rFonts w:hint="eastAsia" w:ascii="Times New Roman" w:hAnsi="Times New Roman" w:cs="Times New Roman"/>
          <w:sz w:val="24"/>
          <w:szCs w:val="28"/>
        </w:rPr>
        <w:t>CF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hint="eastAsia" w:ascii="Times New Roman" w:hAnsi="Times New Roman" w:eastAsia="等线" w:cs="Times New Roman"/>
          <w:bCs/>
          <w:i/>
          <w:iCs/>
          <w:color w:val="000000"/>
          <w:sz w:val="24"/>
          <w:szCs w:val="28"/>
        </w:rPr>
        <w:t>Castanopsis fargesii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>
        <w:rPr>
          <w:rFonts w:hint="eastAsia" w:ascii="Times New Roman" w:hAnsi="Times New Roman" w:cs="Times New Roman"/>
          <w:sz w:val="24"/>
          <w:szCs w:val="28"/>
        </w:rPr>
        <w:t>CH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hint="eastAsia" w:ascii="Times New Roman" w:hAnsi="Times New Roman" w:eastAsia="等线" w:cs="Times New Roman"/>
          <w:bCs/>
          <w:i/>
          <w:iCs/>
          <w:color w:val="000000"/>
          <w:sz w:val="24"/>
          <w:szCs w:val="28"/>
        </w:rPr>
        <w:t>Castanea henryi</w:t>
      </w:r>
      <w:r>
        <w:rPr>
          <w:rFonts w:ascii="Times New Roman" w:hAnsi="Times New Roman" w:cs="Times New Roman"/>
          <w:sz w:val="24"/>
          <w:szCs w:val="28"/>
        </w:rPr>
        <w:t>;</w:t>
      </w:r>
      <w:r>
        <w:rPr>
          <w:rFonts w:hint="eastAsia" w:ascii="Times New Roman" w:hAnsi="Times New Roman" w:cs="Times New Roman"/>
          <w:sz w:val="24"/>
          <w:szCs w:val="28"/>
        </w:rPr>
        <w:t xml:space="preserve"> </w:t>
      </w:r>
      <w:r>
        <w:rPr>
          <w:rFonts w:hint="eastAsia" w:ascii="Times New Roman" w:hAnsi="Times New Roman" w:eastAsia="等线" w:cs="Times New Roman"/>
          <w:bCs/>
          <w:color w:val="000000"/>
          <w:sz w:val="24"/>
          <w:szCs w:val="28"/>
        </w:rPr>
        <w:t xml:space="preserve">QF, </w:t>
      </w:r>
      <w:r>
        <w:rPr>
          <w:rFonts w:hint="eastAsia" w:ascii="Times New Roman" w:hAnsi="Times New Roman" w:eastAsia="等线" w:cs="Times New Roman"/>
          <w:bCs/>
          <w:i/>
          <w:iCs/>
          <w:color w:val="000000"/>
          <w:sz w:val="24"/>
          <w:szCs w:val="28"/>
        </w:rPr>
        <w:t>Quercus fabri</w:t>
      </w:r>
    </w:p>
    <w:p w14:paraId="171C6D48">
      <w:pPr>
        <w:spacing w:before="0" w:after="0"/>
        <w:jc w:val="left"/>
        <w:rPr>
          <w:rFonts w:ascii="Times New Roman" w:hAnsi="Times New Roman" w:eastAsia="等线" w:cs="Times New Roman"/>
          <w:b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8993428">
      <w:pPr>
        <w:keepNext/>
        <w:spacing w:before="0" w:after="0"/>
        <w:jc w:val="center"/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6098540" cy="2902585"/>
            <wp:effectExtent l="0" t="0" r="16510" b="12065"/>
            <wp:docPr id="1814650865" name="图片 1" descr="D:/AAA论文相关/第二篇—Nature/有关数据/微生物群落组成的图(4重复)/RDA所有门属合并.tifRDA所有门属合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50865" name="图片 1" descr="D:/AAA论文相关/第二篇—Nature/有关数据/微生物群落组成的图(4重复)/RDA所有门属合并.tifRDA所有门属合并"/>
                    <pic:cNvPicPr>
                      <a:picLocks noChangeAspect="1"/>
                    </pic:cNvPicPr>
                  </pic:nvPicPr>
                  <pic:blipFill>
                    <a:blip r:embed="rId7"/>
                    <a:srcRect t="10" b="10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290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2A391">
      <w:pPr>
        <w:pStyle w:val="11"/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Figure_S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Redundancy analysis (RDA) between soil chemical properties and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bacterial communities represented by the top 10 most abundant and top 10 Random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Forest-important phyla (a) and genera (b).</w:t>
      </w:r>
    </w:p>
    <w:p w14:paraId="10F9E4FE">
      <w:pPr>
        <w:keepNext/>
      </w:pPr>
      <w:r>
        <w:rPr>
          <w:rFonts w:hint="eastAsia"/>
        </w:rPr>
        <w:drawing>
          <wp:inline distT="0" distB="0" distL="0" distR="0">
            <wp:extent cx="5274310" cy="2880995"/>
            <wp:effectExtent l="0" t="0" r="0" b="0"/>
            <wp:docPr id="722414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14428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2ACA7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Figure_S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Spearman correlations between soil bacterial α-diversity and soil chemical properties. Red indicates positive correlations, and purple indicates negative correlations. The size of each square is proportional to the absolute value of the correlation coefficient. “*”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“**”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76366E56">
      <w:pPr>
        <w:keepNext/>
        <w:spacing w:before="0" w:after="0"/>
        <w:jc w:val="center"/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3973830" cy="3509010"/>
            <wp:effectExtent l="0" t="0" r="7620" b="0"/>
            <wp:docPr id="17035111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11194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350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3DA1F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Figure_S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Db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RDA analysis of soil chemical properties and bacterial community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based on Bray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hint="eastAsia" w:ascii="Times New Roman" w:hAnsi="Times New Roman" w:cs="Times New Roman"/>
          <w:sz w:val="24"/>
          <w:szCs w:val="24"/>
        </w:rPr>
        <w:t>urti</w:t>
      </w:r>
      <w:r>
        <w:rPr>
          <w:rFonts w:ascii="Times New Roman" w:hAnsi="Times New Roman" w:cs="Times New Roman"/>
          <w:sz w:val="24"/>
          <w:szCs w:val="24"/>
        </w:rPr>
        <w:t>s distance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hint="eastAsia"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Cunninghamia lanceolata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</w:rPr>
        <w:t>QG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Quercus glauca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</w:rPr>
        <w:t>CF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Castanopsis fargesii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Castanea henryi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QF,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 xml:space="preserve">Quercus fabri.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</w:rPr>
        <w:t>”</w:t>
      </w:r>
      <w:r>
        <w:rPr>
          <w:rFonts w:hint="eastAsia" w:ascii="Times New Roman" w:hAnsi="Times New Roman" w:cs="Times New Roman"/>
        </w:rPr>
        <w:t>: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5D439AEC">
      <w:pPr>
        <w:pStyle w:val="11"/>
        <w:jc w:val="left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9B2A67">
      <w:pPr>
        <w:keepNext/>
        <w:spacing w:before="0" w:after="0"/>
        <w:jc w:val="left"/>
        <w:rPr>
          <w:rFonts w:ascii="Times New Roman" w:hAnsi="Times New Roman" w:eastAsia="宋体" w:cs="Times New Roman"/>
        </w:rPr>
      </w:pPr>
    </w:p>
    <w:p w14:paraId="2CB65CA7">
      <w:pPr>
        <w:keepNext/>
        <w:widowControl/>
        <w:spacing w:before="0" w:after="0"/>
        <w:jc w:val="left"/>
      </w:pPr>
      <w:r>
        <w:rPr>
          <w:rFonts w:ascii="Times New Roman" w:hAnsi="Times New Roman" w:eastAsia="等线" w:cs="Times New Roman"/>
          <w:b/>
          <w:color w:val="000000"/>
          <w:sz w:val="24"/>
          <w:szCs w:val="24"/>
        </w:rPr>
        <w:drawing>
          <wp:inline distT="0" distB="0" distL="0" distR="0">
            <wp:extent cx="6073140" cy="3985895"/>
            <wp:effectExtent l="0" t="0" r="3810" b="0"/>
            <wp:docPr id="19912839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83995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524" cy="398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D4516">
      <w:pPr>
        <w:pStyle w:val="11"/>
        <w:jc w:val="left"/>
        <w:rPr>
          <w:rFonts w:ascii="Times New Roman" w:hAnsi="Times New Roman" w:cs="Times New Roman"/>
          <w:b/>
          <w:bCs/>
          <w:sz w:val="24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  <w:sz w:val="24"/>
          <w:szCs w:val="36"/>
        </w:rPr>
        <w:t>Figure S</w:t>
      </w:r>
      <w:r>
        <w:rPr>
          <w:rFonts w:ascii="Times New Roman" w:hAnsi="Times New Roman" w:cs="Times New Roman"/>
          <w:b/>
          <w:bCs/>
          <w:sz w:val="24"/>
          <w:szCs w:val="36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36"/>
        </w:rPr>
        <w:instrText xml:space="preserve"> SEQ Figure_S \* ARABIC </w:instrText>
      </w:r>
      <w:r>
        <w:rPr>
          <w:rFonts w:ascii="Times New Roman" w:hAnsi="Times New Roman" w:cs="Times New Roman"/>
          <w:b/>
          <w:bCs/>
          <w:sz w:val="24"/>
          <w:szCs w:val="36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36"/>
        </w:rPr>
        <w:t>6</w:t>
      </w:r>
      <w:r>
        <w:rPr>
          <w:rFonts w:ascii="Times New Roman" w:hAnsi="Times New Roman" w:cs="Times New Roman"/>
          <w:b/>
          <w:bCs/>
          <w:sz w:val="24"/>
          <w:szCs w:val="36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Spearman correlation heatmaps showing the relationships between soil bacterial potential functions and soil chemical properties, community attributes, and network topological properties in </w:t>
      </w:r>
      <w:r>
        <w:rPr>
          <w:rFonts w:hint="eastAsia" w:ascii="Times New Roman" w:hAnsi="Times New Roman" w:cs="Times New Roman"/>
          <w:sz w:val="24"/>
          <w:szCs w:val="24"/>
        </w:rPr>
        <w:t xml:space="preserve">CF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hint="eastAsia" w:ascii="Times New Roman" w:hAnsi="Times New Roman" w:cs="Times New Roman"/>
          <w:sz w:val="24"/>
          <w:szCs w:val="24"/>
        </w:rPr>
        <w:t xml:space="preserve"> and CH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hint="eastAsia"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). Red indicates positive correlations, and purple indicates negative correlations. The size of each square is proportional to the absolute value of the correlation coefficient.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</w:rPr>
        <w:t>”</w:t>
      </w:r>
      <w:r>
        <w:rPr>
          <w:rFonts w:hint="eastAsia" w:ascii="Times New Roman" w:hAnsi="Times New Roman" w:cs="Times New Roman"/>
        </w:rPr>
        <w:t>: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</w:rPr>
        <w:t>”</w:t>
      </w:r>
      <w:r>
        <w:rPr>
          <w:rFonts w:hint="eastAsia" w:ascii="Times New Roman" w:hAnsi="Times New Roman" w:cs="Times New Roman"/>
        </w:rPr>
        <w:t>: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0.01;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</w:rPr>
        <w:t>”</w:t>
      </w:r>
      <w:r>
        <w:rPr>
          <w:rFonts w:hint="eastAsia" w:ascii="Times New Roman" w:hAnsi="Times New Roman" w:cs="Times New Roman"/>
        </w:rPr>
        <w:t>: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36"/>
        </w:rPr>
        <w:t xml:space="preserve"> </w:t>
      </w:r>
    </w:p>
    <w:p w14:paraId="772055B3">
      <w:pPr>
        <w:spacing w:before="0" w:after="0" w:line="360" w:lineRule="auto"/>
        <w:rPr>
          <w:rFonts w:ascii="Times New Roman" w:hAnsi="Times New Roman" w:eastAsia="等线" w:cs="Times New Roman"/>
          <w:b/>
          <w:color w:val="000000"/>
          <w:sz w:val="24"/>
          <w:szCs w:val="24"/>
        </w:rPr>
      </w:pPr>
    </w:p>
    <w:p w14:paraId="2E84A5D8">
      <w:pPr>
        <w:keepNext/>
        <w:spacing w:before="0" w:after="0"/>
        <w:jc w:val="left"/>
        <w:rPr>
          <w:rFonts w:ascii="Times New Roman" w:hAnsi="Times New Roman" w:eastAsia="黑体" w:cs="Times New Roman"/>
          <w:bCs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instrText xml:space="preserve"> SEQ Table_S \* ARABIC </w:instrTex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t>1</w: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end"/>
      </w:r>
      <w:r>
        <w:rPr>
          <w:rFonts w:ascii="Arial" w:hAnsi="Arial" w:eastAsia="黑体" w:cs="Times New Roman"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bCs/>
          <w:sz w:val="24"/>
          <w:szCs w:val="24"/>
        </w:rPr>
        <w:t>Soil chemical properties</w:t>
      </w:r>
      <w:r>
        <w:rPr>
          <w:rFonts w:ascii="Arial" w:hAnsi="Arial" w:eastAsia="黑体" w:cs="Times New Roman"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bCs/>
          <w:sz w:val="24"/>
          <w:szCs w:val="24"/>
        </w:rPr>
        <w:t xml:space="preserve">and </w:t>
      </w:r>
      <w:r>
        <w:rPr>
          <w:rFonts w:hint="eastAsia" w:ascii="Times New Roman" w:hAnsi="Times New Roman" w:eastAsia="黑体" w:cs="Times New Roman"/>
          <w:bCs/>
          <w:sz w:val="24"/>
          <w:szCs w:val="24"/>
        </w:rPr>
        <w:t xml:space="preserve">nutrient </w:t>
      </w:r>
      <w:r>
        <w:rPr>
          <w:rFonts w:ascii="Times New Roman" w:hAnsi="Times New Roman" w:eastAsia="黑体" w:cs="Times New Roman"/>
          <w:bCs/>
          <w:sz w:val="24"/>
          <w:szCs w:val="24"/>
        </w:rPr>
        <w:t>stoichiometry.</w:t>
      </w:r>
    </w:p>
    <w:p w14:paraId="31DB2603">
      <w:pPr>
        <w:keepNext/>
        <w:spacing w:before="0" w:after="0"/>
        <w:jc w:val="left"/>
        <w:rPr>
          <w:rFonts w:ascii="Arial" w:hAnsi="Arial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bCs/>
          <w:sz w:val="24"/>
          <w:szCs w:val="24"/>
        </w:rPr>
        <w:t>CL</w:t>
      </w:r>
      <w:r>
        <w:rPr>
          <w:rFonts w:hint="eastAsia" w:ascii="Times New Roman" w:hAnsi="Times New Roman" w:eastAsia="黑体" w:cs="Times New Roman"/>
          <w:bCs/>
          <w:sz w:val="24"/>
          <w:szCs w:val="24"/>
        </w:rPr>
        <w:t>,</w:t>
      </w:r>
      <w:r>
        <w:rPr>
          <w:rFonts w:ascii="Times New Roman" w:hAnsi="Times New Roman" w:eastAsia="黑体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bCs/>
          <w:i/>
          <w:iCs/>
          <w:sz w:val="24"/>
          <w:szCs w:val="24"/>
        </w:rPr>
        <w:t>Cunninghamia lanceolata</w:t>
      </w:r>
      <w:r>
        <w:rPr>
          <w:rFonts w:ascii="Times New Roman" w:hAnsi="Times New Roman" w:eastAsia="黑体" w:cs="Times New Roman"/>
          <w:bCs/>
          <w:sz w:val="24"/>
          <w:szCs w:val="24"/>
        </w:rPr>
        <w:t>; QG</w:t>
      </w:r>
      <w:r>
        <w:rPr>
          <w:rFonts w:hint="eastAsia" w:ascii="Times New Roman" w:hAnsi="Times New Roman" w:eastAsia="黑体" w:cs="Times New Roman"/>
          <w:bCs/>
          <w:sz w:val="24"/>
          <w:szCs w:val="24"/>
        </w:rPr>
        <w:t>,</w:t>
      </w:r>
      <w:r>
        <w:rPr>
          <w:rFonts w:ascii="Times New Roman" w:hAnsi="Times New Roman" w:eastAsia="黑体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bCs/>
          <w:i/>
          <w:iCs/>
          <w:sz w:val="24"/>
          <w:szCs w:val="24"/>
        </w:rPr>
        <w:t>Quercus glauca</w:t>
      </w:r>
      <w:r>
        <w:rPr>
          <w:rFonts w:ascii="Times New Roman" w:hAnsi="Times New Roman" w:eastAsia="黑体" w:cs="Times New Roman"/>
          <w:bCs/>
          <w:sz w:val="24"/>
          <w:szCs w:val="24"/>
        </w:rPr>
        <w:t>; CF</w:t>
      </w:r>
      <w:r>
        <w:rPr>
          <w:rFonts w:hint="eastAsia" w:ascii="Times New Roman" w:hAnsi="Times New Roman" w:eastAsia="黑体" w:cs="Times New Roman"/>
          <w:bCs/>
          <w:sz w:val="24"/>
          <w:szCs w:val="24"/>
        </w:rPr>
        <w:t>,</w:t>
      </w:r>
      <w:r>
        <w:rPr>
          <w:rFonts w:ascii="Times New Roman" w:hAnsi="Times New Roman" w:eastAsia="黑体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bCs/>
          <w:i/>
          <w:iCs/>
          <w:sz w:val="24"/>
          <w:szCs w:val="24"/>
        </w:rPr>
        <w:t>Castanopsis fargesii</w:t>
      </w:r>
      <w:r>
        <w:rPr>
          <w:rFonts w:ascii="Times New Roman" w:hAnsi="Times New Roman" w:eastAsia="黑体" w:cs="Times New Roman"/>
          <w:bCs/>
          <w:sz w:val="24"/>
          <w:szCs w:val="24"/>
        </w:rPr>
        <w:t>; CH</w:t>
      </w:r>
      <w:r>
        <w:rPr>
          <w:rFonts w:hint="eastAsia" w:ascii="Times New Roman" w:hAnsi="Times New Roman" w:eastAsia="黑体" w:cs="Times New Roman"/>
          <w:bCs/>
          <w:sz w:val="24"/>
          <w:szCs w:val="24"/>
        </w:rPr>
        <w:t>,</w:t>
      </w:r>
      <w:r>
        <w:rPr>
          <w:rFonts w:ascii="Times New Roman" w:hAnsi="Times New Roman" w:eastAsia="黑体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bCs/>
          <w:i/>
          <w:iCs/>
          <w:sz w:val="24"/>
          <w:szCs w:val="24"/>
        </w:rPr>
        <w:t>Castanea henryi</w:t>
      </w:r>
      <w:r>
        <w:rPr>
          <w:rFonts w:ascii="Times New Roman" w:hAnsi="Times New Roman" w:eastAsia="黑体" w:cs="Times New Roman"/>
          <w:bCs/>
          <w:sz w:val="24"/>
          <w:szCs w:val="24"/>
        </w:rPr>
        <w:t>; QF</w:t>
      </w:r>
      <w:r>
        <w:rPr>
          <w:rFonts w:hint="eastAsia" w:ascii="Times New Roman" w:hAnsi="Times New Roman" w:eastAsia="黑体" w:cs="Times New Roman"/>
          <w:bCs/>
          <w:sz w:val="24"/>
          <w:szCs w:val="24"/>
        </w:rPr>
        <w:t>,</w:t>
      </w:r>
      <w:r>
        <w:rPr>
          <w:rFonts w:ascii="Times New Roman" w:hAnsi="Times New Roman" w:eastAsia="黑体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bCs/>
          <w:i/>
          <w:iCs/>
          <w:sz w:val="24"/>
          <w:szCs w:val="24"/>
        </w:rPr>
        <w:t>Quercus fabri</w:t>
      </w:r>
      <w:r>
        <w:rPr>
          <w:rFonts w:hint="eastAsia" w:ascii="Times New Roman" w:hAnsi="Times New Roman" w:eastAsia="黑体" w:cs="Times New Roman"/>
          <w:bCs/>
          <w:sz w:val="24"/>
          <w:szCs w:val="24"/>
        </w:rPr>
        <w:t>.</w:t>
      </w:r>
    </w:p>
    <w:tbl>
      <w:tblPr>
        <w:tblStyle w:val="3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295"/>
        <w:gridCol w:w="1472"/>
        <w:gridCol w:w="1415"/>
        <w:gridCol w:w="1539"/>
        <w:gridCol w:w="1499"/>
        <w:gridCol w:w="1655"/>
        <w:gridCol w:w="1523"/>
        <w:gridCol w:w="1416"/>
      </w:tblGrid>
      <w:tr w14:paraId="1AD4C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F4E1310">
            <w:pPr>
              <w:spacing w:before="0" w:after="0"/>
              <w:ind w:left="-90" w:leftChars="-43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Forest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stand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13E1BB7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pH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6B9F939">
            <w:pPr>
              <w:widowControl/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SOC (g·kg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79ACCF6">
            <w:pPr>
              <w:widowControl/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TN(g·kg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8B5B742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AN (mg·kg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E443A2A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AP (mg·kg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A783944">
            <w:pPr>
              <w:widowControl/>
              <w:spacing w:before="0" w:after="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AK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(mg·kg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139E800">
            <w:pPr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C:P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5864368">
            <w:pPr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N:P</w:t>
            </w:r>
          </w:p>
        </w:tc>
      </w:tr>
      <w:tr w14:paraId="10D75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70C6089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CL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7843A187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4.82±0.14a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5598A5D0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26.48±0.28a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5C1DFA7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1.07±0.05a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051DD81C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59.5±0.57a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64F864D7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4.26±0.51c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28416E90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61.74±3.39c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713B57B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6.29±0.88a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0CA0D350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0.25±0.04a</w:t>
            </w:r>
          </w:p>
        </w:tc>
      </w:tr>
      <w:tr w14:paraId="368A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0" w:type="auto"/>
            <w:vAlign w:val="center"/>
          </w:tcPr>
          <w:p w14:paraId="2F3DA6B4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QG</w:t>
            </w:r>
          </w:p>
        </w:tc>
        <w:tc>
          <w:tcPr>
            <w:tcW w:w="0" w:type="auto"/>
            <w:vAlign w:val="center"/>
          </w:tcPr>
          <w:p w14:paraId="6B311C48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4.80±0.04a</w:t>
            </w:r>
          </w:p>
        </w:tc>
        <w:tc>
          <w:tcPr>
            <w:tcW w:w="0" w:type="auto"/>
            <w:vAlign w:val="center"/>
          </w:tcPr>
          <w:p w14:paraId="5616EEA4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18.35±0.67c</w:t>
            </w:r>
          </w:p>
        </w:tc>
        <w:tc>
          <w:tcPr>
            <w:tcW w:w="0" w:type="auto"/>
            <w:vAlign w:val="center"/>
          </w:tcPr>
          <w:p w14:paraId="48CDE66A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0.72±0.03c</w:t>
            </w:r>
          </w:p>
        </w:tc>
        <w:tc>
          <w:tcPr>
            <w:tcW w:w="0" w:type="auto"/>
            <w:vAlign w:val="center"/>
          </w:tcPr>
          <w:p w14:paraId="1E0D4C5F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41.13±1.84b</w:t>
            </w:r>
          </w:p>
        </w:tc>
        <w:tc>
          <w:tcPr>
            <w:tcW w:w="0" w:type="auto"/>
            <w:vAlign w:val="center"/>
          </w:tcPr>
          <w:p w14:paraId="7F37A68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5.95±0.59b</w:t>
            </w:r>
          </w:p>
        </w:tc>
        <w:tc>
          <w:tcPr>
            <w:tcW w:w="0" w:type="auto"/>
            <w:vAlign w:val="center"/>
          </w:tcPr>
          <w:p w14:paraId="14FBCCCE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107.70±11.45a</w:t>
            </w:r>
          </w:p>
        </w:tc>
        <w:tc>
          <w:tcPr>
            <w:tcW w:w="0" w:type="auto"/>
            <w:vAlign w:val="center"/>
          </w:tcPr>
          <w:p w14:paraId="1AECACD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3.11±0.35bc</w:t>
            </w:r>
          </w:p>
        </w:tc>
        <w:tc>
          <w:tcPr>
            <w:tcW w:w="0" w:type="auto"/>
            <w:vAlign w:val="center"/>
          </w:tcPr>
          <w:p w14:paraId="04AE8753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0.12±0.01c</w:t>
            </w:r>
          </w:p>
        </w:tc>
      </w:tr>
      <w:tr w14:paraId="1D8BA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6EF4DF1B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  <w:tc>
          <w:tcPr>
            <w:tcW w:w="0" w:type="auto"/>
            <w:vAlign w:val="center"/>
          </w:tcPr>
          <w:p w14:paraId="431FFAA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4.93±0.18a</w:t>
            </w:r>
          </w:p>
        </w:tc>
        <w:tc>
          <w:tcPr>
            <w:tcW w:w="0" w:type="auto"/>
            <w:vAlign w:val="center"/>
          </w:tcPr>
          <w:p w14:paraId="3CDEDB04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20.43±0.32b</w:t>
            </w:r>
          </w:p>
        </w:tc>
        <w:tc>
          <w:tcPr>
            <w:tcW w:w="0" w:type="auto"/>
            <w:vAlign w:val="center"/>
          </w:tcPr>
          <w:p w14:paraId="4C84EAD7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0.76±0.11bc</w:t>
            </w:r>
          </w:p>
        </w:tc>
        <w:tc>
          <w:tcPr>
            <w:tcW w:w="0" w:type="auto"/>
            <w:vAlign w:val="center"/>
          </w:tcPr>
          <w:p w14:paraId="2232116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39.55±2.39b</w:t>
            </w:r>
          </w:p>
        </w:tc>
        <w:tc>
          <w:tcPr>
            <w:tcW w:w="0" w:type="auto"/>
            <w:vAlign w:val="center"/>
          </w:tcPr>
          <w:p w14:paraId="75D240FB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6.76±0.46a</w:t>
            </w:r>
          </w:p>
        </w:tc>
        <w:tc>
          <w:tcPr>
            <w:tcW w:w="0" w:type="auto"/>
            <w:vAlign w:val="center"/>
          </w:tcPr>
          <w:p w14:paraId="1E13CF9A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78.72±9.17b</w:t>
            </w:r>
          </w:p>
        </w:tc>
        <w:tc>
          <w:tcPr>
            <w:tcW w:w="0" w:type="auto"/>
            <w:vAlign w:val="center"/>
          </w:tcPr>
          <w:p w14:paraId="7910088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3.03±0.18bc</w:t>
            </w:r>
          </w:p>
        </w:tc>
        <w:tc>
          <w:tcPr>
            <w:tcW w:w="0" w:type="auto"/>
            <w:vAlign w:val="center"/>
          </w:tcPr>
          <w:p w14:paraId="77233A97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0.11±0.02c</w:t>
            </w:r>
          </w:p>
        </w:tc>
      </w:tr>
      <w:tr w14:paraId="5D673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vAlign w:val="center"/>
          </w:tcPr>
          <w:p w14:paraId="123625A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CH</w:t>
            </w:r>
          </w:p>
        </w:tc>
        <w:tc>
          <w:tcPr>
            <w:tcW w:w="0" w:type="auto"/>
            <w:vAlign w:val="center"/>
          </w:tcPr>
          <w:p w14:paraId="424F11E5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4.83±0.10a</w:t>
            </w:r>
          </w:p>
        </w:tc>
        <w:tc>
          <w:tcPr>
            <w:tcW w:w="0" w:type="auto"/>
            <w:vAlign w:val="center"/>
          </w:tcPr>
          <w:p w14:paraId="6E6E47B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15.45±0.38d</w:t>
            </w:r>
          </w:p>
        </w:tc>
        <w:tc>
          <w:tcPr>
            <w:tcW w:w="0" w:type="auto"/>
            <w:vAlign w:val="center"/>
          </w:tcPr>
          <w:p w14:paraId="17C158C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0.75±0.04bc</w:t>
            </w:r>
          </w:p>
        </w:tc>
        <w:tc>
          <w:tcPr>
            <w:tcW w:w="0" w:type="auto"/>
            <w:vAlign w:val="center"/>
          </w:tcPr>
          <w:p w14:paraId="6F7766FD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38.15±2.18b</w:t>
            </w:r>
          </w:p>
        </w:tc>
        <w:tc>
          <w:tcPr>
            <w:tcW w:w="0" w:type="auto"/>
            <w:vAlign w:val="center"/>
          </w:tcPr>
          <w:p w14:paraId="52B6E78D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4.22±0.33c</w:t>
            </w:r>
          </w:p>
        </w:tc>
        <w:tc>
          <w:tcPr>
            <w:tcW w:w="0" w:type="auto"/>
            <w:vAlign w:val="center"/>
          </w:tcPr>
          <w:p w14:paraId="4DDDFEF0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70.64±6.00bc</w:t>
            </w:r>
          </w:p>
        </w:tc>
        <w:tc>
          <w:tcPr>
            <w:tcW w:w="0" w:type="auto"/>
            <w:vAlign w:val="center"/>
          </w:tcPr>
          <w:p w14:paraId="588A1A8C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3.68±0.33b</w:t>
            </w:r>
          </w:p>
        </w:tc>
        <w:tc>
          <w:tcPr>
            <w:tcW w:w="0" w:type="auto"/>
            <w:vAlign w:val="center"/>
          </w:tcPr>
          <w:p w14:paraId="45295323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0.18±0.02b</w:t>
            </w:r>
          </w:p>
        </w:tc>
      </w:tr>
      <w:tr w14:paraId="1AAEC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5CA4E044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QF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3C3C76C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4.96±0.07a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76A4B31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17.41±1.92c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27773F3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0.89±0.16b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24BFF95E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37.12±4.77b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73CE585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7.03±0.39a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4E1F4570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97.56±3.73a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20B7B913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2.46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±0.35c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4343CA25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±0.04c</w:t>
            </w:r>
          </w:p>
        </w:tc>
      </w:tr>
    </w:tbl>
    <w:p w14:paraId="3E59643E">
      <w:pPr>
        <w:spacing w:before="0" w:after="0" w:line="360" w:lineRule="auto"/>
        <w:jc w:val="left"/>
        <w:rPr>
          <w:rFonts w:ascii="Times New Roman" w:hAnsi="Times New Roman" w:eastAsia="等线" w:cs="Times New Roman"/>
          <w:bCs/>
          <w:i/>
          <w:iCs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Hlk224034896"/>
    </w:p>
    <w:p w14:paraId="06677239">
      <w:pPr>
        <w:spacing w:before="0" w:after="0" w:line="360" w:lineRule="auto"/>
        <w:jc w:val="left"/>
        <w:rPr>
          <w:rFonts w:ascii="Times New Roman" w:hAnsi="Times New Roman" w:eastAsia="等线" w:cs="Times New Roman"/>
          <w:bCs/>
          <w:i/>
          <w:iCs/>
          <w:sz w:val="24"/>
          <w:szCs w:val="24"/>
        </w:rPr>
      </w:pPr>
    </w:p>
    <w:p w14:paraId="4995A410">
      <w:pPr>
        <w:keepNext/>
        <w:spacing w:before="0" w:after="0"/>
        <w:jc w:val="left"/>
        <w:rPr>
          <w:rFonts w:ascii="Times New Roman" w:hAnsi="Times New Roman" w:eastAsia="等线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instrText xml:space="preserve"> SEQ Table_S \* ARABIC </w:instrTex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t>2</w: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eastAsia="等线" w:cs="Times New Roman"/>
          <w:bCs/>
          <w:sz w:val="24"/>
          <w:szCs w:val="24"/>
        </w:rPr>
        <w:t xml:space="preserve"> Basic characteristics of experimental plots</w:t>
      </w:r>
      <w:bookmarkStart w:id="1" w:name="_Hlk224072366"/>
      <w:r>
        <w:rPr>
          <w:rFonts w:hint="eastAsia" w:ascii="Times New Roman" w:hAnsi="Times New Roman" w:eastAsia="等线" w:cs="Times New Roman"/>
          <w:bCs/>
          <w:color w:val="000000"/>
          <w:sz w:val="24"/>
          <w:szCs w:val="24"/>
        </w:rPr>
        <w:t>.</w:t>
      </w:r>
    </w:p>
    <w:p w14:paraId="0CC3CBDD">
      <w:pPr>
        <w:keepNext/>
        <w:spacing w:before="0" w:after="0"/>
        <w:jc w:val="left"/>
        <w:rPr>
          <w:rFonts w:ascii="Arial" w:hAnsi="Arial" w:eastAsia="黑体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bCs/>
          <w:sz w:val="24"/>
          <w:szCs w:val="24"/>
        </w:rPr>
        <w:t xml:space="preserve">CL, </w:t>
      </w:r>
      <w:r>
        <w:rPr>
          <w:rFonts w:hint="eastAsia" w:ascii="Times New Roman" w:hAnsi="Times New Roman" w:eastAsia="等线" w:cs="Times New Roman"/>
          <w:bCs/>
          <w:i/>
          <w:iCs/>
          <w:sz w:val="24"/>
          <w:szCs w:val="24"/>
        </w:rPr>
        <w:t>Cunninghamia lanceolata</w:t>
      </w:r>
      <w:r>
        <w:rPr>
          <w:rFonts w:hint="eastAsia" w:ascii="Times New Roman" w:hAnsi="Times New Roman" w:eastAsia="等线" w:cs="Times New Roman"/>
          <w:bCs/>
          <w:sz w:val="24"/>
          <w:szCs w:val="24"/>
        </w:rPr>
        <w:t xml:space="preserve">; QG, </w:t>
      </w:r>
      <w:r>
        <w:rPr>
          <w:rFonts w:hint="eastAsia" w:ascii="Times New Roman" w:hAnsi="Times New Roman" w:eastAsia="等线" w:cs="Times New Roman"/>
          <w:bCs/>
          <w:i/>
          <w:iCs/>
          <w:sz w:val="24"/>
          <w:szCs w:val="24"/>
        </w:rPr>
        <w:t>Quercus glauca</w:t>
      </w:r>
      <w:r>
        <w:rPr>
          <w:rFonts w:hint="eastAsia" w:ascii="Times New Roman" w:hAnsi="Times New Roman" w:eastAsia="等线" w:cs="Times New Roman"/>
          <w:bCs/>
          <w:sz w:val="24"/>
          <w:szCs w:val="24"/>
        </w:rPr>
        <w:t xml:space="preserve">; CF, </w:t>
      </w:r>
      <w:r>
        <w:rPr>
          <w:rFonts w:hint="eastAsia" w:ascii="Times New Roman" w:hAnsi="Times New Roman" w:eastAsia="等线" w:cs="Times New Roman"/>
          <w:bCs/>
          <w:i/>
          <w:iCs/>
          <w:sz w:val="24"/>
          <w:szCs w:val="24"/>
        </w:rPr>
        <w:t>Castanopsis fargesii</w:t>
      </w:r>
      <w:r>
        <w:rPr>
          <w:rFonts w:hint="eastAsia" w:ascii="Times New Roman" w:hAnsi="Times New Roman" w:eastAsia="等线" w:cs="Times New Roman"/>
          <w:bCs/>
          <w:sz w:val="24"/>
          <w:szCs w:val="24"/>
        </w:rPr>
        <w:t xml:space="preserve">; CH, </w:t>
      </w:r>
      <w:r>
        <w:rPr>
          <w:rFonts w:hint="eastAsia" w:ascii="Times New Roman" w:hAnsi="Times New Roman" w:eastAsia="等线" w:cs="Times New Roman"/>
          <w:bCs/>
          <w:i/>
          <w:iCs/>
          <w:sz w:val="24"/>
          <w:szCs w:val="24"/>
        </w:rPr>
        <w:t>Castanea henryi</w:t>
      </w:r>
      <w:r>
        <w:rPr>
          <w:rFonts w:hint="eastAsia" w:ascii="Times New Roman" w:hAnsi="Times New Roman" w:eastAsia="等线" w:cs="Times New Roman"/>
          <w:bCs/>
          <w:sz w:val="24"/>
          <w:szCs w:val="24"/>
        </w:rPr>
        <w:t xml:space="preserve">; QF, </w:t>
      </w:r>
      <w:r>
        <w:rPr>
          <w:rFonts w:hint="eastAsia" w:ascii="Times New Roman" w:hAnsi="Times New Roman" w:eastAsia="等线" w:cs="Times New Roman"/>
          <w:bCs/>
          <w:i/>
          <w:iCs/>
          <w:sz w:val="24"/>
          <w:szCs w:val="24"/>
        </w:rPr>
        <w:t>Quercus fabr</w:t>
      </w:r>
      <w:bookmarkEnd w:id="1"/>
      <w:r>
        <w:rPr>
          <w:rFonts w:hint="eastAsia" w:ascii="Times New Roman" w:hAnsi="Times New Roman" w:eastAsia="等线" w:cs="Times New Roman"/>
          <w:bCs/>
          <w:sz w:val="24"/>
          <w:szCs w:val="24"/>
        </w:rPr>
        <w:t>i.</w:t>
      </w:r>
    </w:p>
    <w:tbl>
      <w:tblPr>
        <w:tblStyle w:val="39"/>
        <w:tblW w:w="95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808"/>
        <w:gridCol w:w="1544"/>
        <w:gridCol w:w="8"/>
        <w:gridCol w:w="2143"/>
        <w:gridCol w:w="8"/>
        <w:gridCol w:w="2576"/>
        <w:gridCol w:w="8"/>
      </w:tblGrid>
      <w:tr w14:paraId="103F6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94" w:hRule="atLeast"/>
          <w:jc w:val="center"/>
        </w:trPr>
        <w:tc>
          <w:tcPr>
            <w:tcW w:w="146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E708CCA">
            <w:pPr>
              <w:spacing w:before="0" w:after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Forest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 w:val="24"/>
                <w:szCs w:val="24"/>
                <w:lang w:bidi="ar"/>
              </w:rPr>
              <w:t>stand</w:t>
            </w:r>
          </w:p>
        </w:tc>
        <w:tc>
          <w:tcPr>
            <w:tcW w:w="180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ED6015E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Stand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(year)</w:t>
            </w:r>
          </w:p>
        </w:tc>
        <w:tc>
          <w:tcPr>
            <w:tcW w:w="154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2FF40C7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Elevation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51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564CCAA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Average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DBH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84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70C5C57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Average tree height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14:paraId="67A4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68" w:type="dxa"/>
            <w:tcBorders>
              <w:top w:val="single" w:color="auto" w:sz="8" w:space="0"/>
            </w:tcBorders>
            <w:vAlign w:val="center"/>
          </w:tcPr>
          <w:p w14:paraId="6BE54B6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CL</w:t>
            </w:r>
          </w:p>
        </w:tc>
        <w:tc>
          <w:tcPr>
            <w:tcW w:w="1808" w:type="dxa"/>
            <w:tcBorders>
              <w:top w:val="single" w:color="auto" w:sz="8" w:space="0"/>
            </w:tcBorders>
            <w:vAlign w:val="center"/>
          </w:tcPr>
          <w:p w14:paraId="568A69E9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2" w:type="dxa"/>
            <w:gridSpan w:val="2"/>
            <w:tcBorders>
              <w:top w:val="single" w:color="auto" w:sz="8" w:space="0"/>
            </w:tcBorders>
            <w:vAlign w:val="center"/>
          </w:tcPr>
          <w:p w14:paraId="170DF22E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2151" w:type="dxa"/>
            <w:gridSpan w:val="2"/>
            <w:tcBorders>
              <w:top w:val="single" w:color="auto" w:sz="8" w:space="0"/>
            </w:tcBorders>
            <w:vAlign w:val="center"/>
          </w:tcPr>
          <w:p w14:paraId="0D107CB8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15.8</w:t>
            </w:r>
          </w:p>
        </w:tc>
        <w:tc>
          <w:tcPr>
            <w:tcW w:w="2584" w:type="dxa"/>
            <w:gridSpan w:val="2"/>
            <w:tcBorders>
              <w:top w:val="single" w:color="auto" w:sz="8" w:space="0"/>
            </w:tcBorders>
            <w:vAlign w:val="center"/>
          </w:tcPr>
          <w:p w14:paraId="4C8D668D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12.8</w:t>
            </w:r>
          </w:p>
        </w:tc>
      </w:tr>
      <w:tr w14:paraId="33779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8" w:type="dxa"/>
            <w:vAlign w:val="center"/>
          </w:tcPr>
          <w:p w14:paraId="1A0267BD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QG</w:t>
            </w:r>
          </w:p>
        </w:tc>
        <w:tc>
          <w:tcPr>
            <w:tcW w:w="1808" w:type="dxa"/>
            <w:vAlign w:val="center"/>
          </w:tcPr>
          <w:p w14:paraId="69527DF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52" w:type="dxa"/>
            <w:gridSpan w:val="2"/>
            <w:vAlign w:val="center"/>
          </w:tcPr>
          <w:p w14:paraId="1CB6A74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2151" w:type="dxa"/>
            <w:gridSpan w:val="2"/>
            <w:vAlign w:val="center"/>
          </w:tcPr>
          <w:p w14:paraId="263BF3A9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</w:t>
            </w:r>
          </w:p>
        </w:tc>
        <w:tc>
          <w:tcPr>
            <w:tcW w:w="2584" w:type="dxa"/>
            <w:gridSpan w:val="2"/>
            <w:vAlign w:val="center"/>
          </w:tcPr>
          <w:p w14:paraId="64FF5BF4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</w:tr>
      <w:tr w14:paraId="31EC5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8" w:type="dxa"/>
            <w:vAlign w:val="center"/>
          </w:tcPr>
          <w:p w14:paraId="0EDD1769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CF</w:t>
            </w:r>
          </w:p>
        </w:tc>
        <w:tc>
          <w:tcPr>
            <w:tcW w:w="1808" w:type="dxa"/>
            <w:vAlign w:val="center"/>
          </w:tcPr>
          <w:p w14:paraId="52D7DF13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52" w:type="dxa"/>
            <w:gridSpan w:val="2"/>
            <w:vAlign w:val="center"/>
          </w:tcPr>
          <w:p w14:paraId="3E95C42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2151" w:type="dxa"/>
            <w:gridSpan w:val="2"/>
            <w:vAlign w:val="center"/>
          </w:tcPr>
          <w:p w14:paraId="1291F2DE">
            <w:pPr>
              <w:widowControl/>
              <w:spacing w:before="0" w:after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4.0</w:t>
            </w:r>
          </w:p>
        </w:tc>
        <w:tc>
          <w:tcPr>
            <w:tcW w:w="2584" w:type="dxa"/>
            <w:gridSpan w:val="2"/>
            <w:vAlign w:val="center"/>
          </w:tcPr>
          <w:p w14:paraId="041EF011">
            <w:pPr>
              <w:widowControl/>
              <w:spacing w:before="0" w:after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3.7</w:t>
            </w:r>
          </w:p>
        </w:tc>
      </w:tr>
      <w:tr w14:paraId="71A43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vAlign w:val="center"/>
          </w:tcPr>
          <w:p w14:paraId="540EA7A9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</w:t>
            </w:r>
          </w:p>
        </w:tc>
        <w:tc>
          <w:tcPr>
            <w:tcW w:w="1808" w:type="dxa"/>
            <w:vAlign w:val="center"/>
          </w:tcPr>
          <w:p w14:paraId="5142EBF0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52" w:type="dxa"/>
            <w:gridSpan w:val="2"/>
            <w:vAlign w:val="center"/>
          </w:tcPr>
          <w:p w14:paraId="0F62457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2151" w:type="dxa"/>
            <w:gridSpan w:val="2"/>
            <w:vAlign w:val="center"/>
          </w:tcPr>
          <w:p w14:paraId="480F693A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2584" w:type="dxa"/>
            <w:gridSpan w:val="2"/>
            <w:vAlign w:val="center"/>
          </w:tcPr>
          <w:p w14:paraId="1244BA1A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3.6</w:t>
            </w:r>
          </w:p>
        </w:tc>
      </w:tr>
      <w:tr w14:paraId="38531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tcBorders>
              <w:bottom w:val="single" w:color="auto" w:sz="12" w:space="0"/>
            </w:tcBorders>
            <w:vAlign w:val="center"/>
          </w:tcPr>
          <w:p w14:paraId="44E0F0F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QF</w:t>
            </w:r>
          </w:p>
        </w:tc>
        <w:tc>
          <w:tcPr>
            <w:tcW w:w="1808" w:type="dxa"/>
            <w:tcBorders>
              <w:bottom w:val="single" w:color="auto" w:sz="12" w:space="0"/>
            </w:tcBorders>
            <w:vAlign w:val="center"/>
          </w:tcPr>
          <w:p w14:paraId="04884ECE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52" w:type="dxa"/>
            <w:gridSpan w:val="2"/>
            <w:tcBorders>
              <w:bottom w:val="single" w:color="auto" w:sz="12" w:space="0"/>
            </w:tcBorders>
            <w:vAlign w:val="center"/>
          </w:tcPr>
          <w:p w14:paraId="7C43F4F9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2151" w:type="dxa"/>
            <w:gridSpan w:val="2"/>
            <w:tcBorders>
              <w:bottom w:val="single" w:color="auto" w:sz="12" w:space="0"/>
            </w:tcBorders>
            <w:vAlign w:val="center"/>
          </w:tcPr>
          <w:p w14:paraId="5619E0E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2584" w:type="dxa"/>
            <w:gridSpan w:val="2"/>
            <w:tcBorders>
              <w:bottom w:val="single" w:color="auto" w:sz="12" w:space="0"/>
            </w:tcBorders>
            <w:vAlign w:val="center"/>
          </w:tcPr>
          <w:p w14:paraId="39D4EB49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</w:tr>
      <w:bookmarkEnd w:id="0"/>
    </w:tbl>
    <w:p w14:paraId="66B1BF42">
      <w:pPr>
        <w:spacing w:before="0" w:after="0" w:line="360" w:lineRule="auto"/>
        <w:rPr>
          <w:rFonts w:ascii="Times New Roman" w:hAnsi="Times New Roman" w:eastAsia="等线" w:cs="Times New Roman"/>
          <w:b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034275">
      <w:pPr>
        <w:pStyle w:val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Pairwise PERMANOVA of soil bacterial community structure between the CL and four oak plantations (QG, CF, CH, QF) based on Bray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hint="eastAsia" w:ascii="Times New Roman" w:hAnsi="Times New Roman" w:cs="Times New Roman"/>
          <w:sz w:val="24"/>
          <w:szCs w:val="24"/>
        </w:rPr>
        <w:t>urti</w:t>
      </w:r>
      <w:r>
        <w:rPr>
          <w:rFonts w:ascii="Times New Roman" w:hAnsi="Times New Roman" w:cs="Times New Roman"/>
          <w:sz w:val="24"/>
          <w:szCs w:val="24"/>
        </w:rPr>
        <w:t>s distance.</w:t>
      </w:r>
      <w:r>
        <w:rPr>
          <w:rFonts w:hint="eastAsia" w:ascii="Times New Roman" w:hAnsi="Times New Roman" w:eastAsia="等线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CL,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Cunninghamia lanceolata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; QG,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Quercus glauca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; CF,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Castanopsis fargesii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; CH,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Castanea henryi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; QF, </w:t>
      </w:r>
      <w:r>
        <w:rPr>
          <w:rFonts w:hint="eastAsia" w:ascii="Times New Roman" w:hAnsi="Times New Roman" w:cs="Times New Roman"/>
          <w:bCs/>
          <w:i/>
          <w:iCs/>
          <w:sz w:val="24"/>
          <w:szCs w:val="24"/>
        </w:rPr>
        <w:t>Quercus fabri</w:t>
      </w:r>
      <w:r>
        <w:rPr>
          <w:rFonts w:hint="eastAsia" w:ascii="Times New Roman" w:hAnsi="Times New Roman" w:cs="Times New Roman"/>
          <w:bCs/>
          <w:sz w:val="24"/>
          <w:szCs w:val="24"/>
        </w:rPr>
        <w:t>.</w:t>
      </w:r>
    </w:p>
    <w:tbl>
      <w:tblPr>
        <w:tblStyle w:val="39"/>
        <w:tblW w:w="95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808"/>
        <w:gridCol w:w="1544"/>
        <w:gridCol w:w="8"/>
        <w:gridCol w:w="2143"/>
        <w:gridCol w:w="8"/>
        <w:gridCol w:w="2576"/>
        <w:gridCol w:w="8"/>
      </w:tblGrid>
      <w:tr w14:paraId="1AC51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94" w:hRule="atLeast"/>
          <w:jc w:val="center"/>
        </w:trPr>
        <w:tc>
          <w:tcPr>
            <w:tcW w:w="146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4196988">
            <w:pPr>
              <w:spacing w:before="0" w:after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control group</w:t>
            </w:r>
          </w:p>
        </w:tc>
        <w:tc>
          <w:tcPr>
            <w:tcW w:w="180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DF256E1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154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4FBD2B9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2</w:t>
            </w:r>
          </w:p>
        </w:tc>
        <w:tc>
          <w:tcPr>
            <w:tcW w:w="2151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BCFED02">
            <w:pPr>
              <w:spacing w:before="0" w:after="0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Raw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P-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2584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2C42B7C">
            <w:pPr>
              <w:spacing w:before="0" w:after="0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Adjusted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P-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14:paraId="70BE1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68" w:type="dxa"/>
            <w:tcBorders>
              <w:top w:val="single" w:color="auto" w:sz="8" w:space="0"/>
            </w:tcBorders>
            <w:vAlign w:val="center"/>
          </w:tcPr>
          <w:p w14:paraId="1550A807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—QG</w:t>
            </w:r>
          </w:p>
        </w:tc>
        <w:tc>
          <w:tcPr>
            <w:tcW w:w="1808" w:type="dxa"/>
            <w:tcBorders>
              <w:top w:val="single" w:color="auto" w:sz="8" w:space="0"/>
            </w:tcBorders>
            <w:vAlign w:val="center"/>
          </w:tcPr>
          <w:p w14:paraId="524ACB17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2.657</w:t>
            </w:r>
          </w:p>
        </w:tc>
        <w:tc>
          <w:tcPr>
            <w:tcW w:w="1552" w:type="dxa"/>
            <w:gridSpan w:val="2"/>
            <w:tcBorders>
              <w:top w:val="single" w:color="auto" w:sz="8" w:space="0"/>
            </w:tcBorders>
            <w:vAlign w:val="center"/>
          </w:tcPr>
          <w:p w14:paraId="1A5E1430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0.307</w:t>
            </w:r>
          </w:p>
        </w:tc>
        <w:tc>
          <w:tcPr>
            <w:tcW w:w="2151" w:type="dxa"/>
            <w:gridSpan w:val="2"/>
            <w:tcBorders>
              <w:top w:val="single" w:color="auto" w:sz="8" w:space="0"/>
            </w:tcBorders>
            <w:vAlign w:val="center"/>
          </w:tcPr>
          <w:p w14:paraId="26393F5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2584" w:type="dxa"/>
            <w:gridSpan w:val="2"/>
            <w:tcBorders>
              <w:top w:val="single" w:color="auto" w:sz="8" w:space="0"/>
            </w:tcBorders>
            <w:vAlign w:val="center"/>
          </w:tcPr>
          <w:p w14:paraId="7D3EE40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0.049</w:t>
            </w:r>
          </w:p>
        </w:tc>
      </w:tr>
      <w:tr w14:paraId="3CFE4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8" w:type="dxa"/>
            <w:vAlign w:val="center"/>
          </w:tcPr>
          <w:p w14:paraId="484184CC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CL—CF</w:t>
            </w:r>
          </w:p>
        </w:tc>
        <w:tc>
          <w:tcPr>
            <w:tcW w:w="1808" w:type="dxa"/>
            <w:vAlign w:val="center"/>
          </w:tcPr>
          <w:p w14:paraId="14906725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1.693</w:t>
            </w:r>
          </w:p>
        </w:tc>
        <w:tc>
          <w:tcPr>
            <w:tcW w:w="1552" w:type="dxa"/>
            <w:gridSpan w:val="2"/>
            <w:vAlign w:val="center"/>
          </w:tcPr>
          <w:p w14:paraId="02D1B28A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0.220</w:t>
            </w:r>
          </w:p>
        </w:tc>
        <w:tc>
          <w:tcPr>
            <w:tcW w:w="2151" w:type="dxa"/>
            <w:gridSpan w:val="2"/>
            <w:vAlign w:val="center"/>
          </w:tcPr>
          <w:p w14:paraId="41BAFF2C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2584" w:type="dxa"/>
            <w:gridSpan w:val="2"/>
            <w:vAlign w:val="center"/>
          </w:tcPr>
          <w:p w14:paraId="3DDC06D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0.049</w:t>
            </w:r>
          </w:p>
        </w:tc>
      </w:tr>
      <w:tr w14:paraId="396F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8" w:type="dxa"/>
            <w:vAlign w:val="center"/>
          </w:tcPr>
          <w:p w14:paraId="0170CC4A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CL—CH</w:t>
            </w:r>
          </w:p>
        </w:tc>
        <w:tc>
          <w:tcPr>
            <w:tcW w:w="1808" w:type="dxa"/>
            <w:vAlign w:val="center"/>
          </w:tcPr>
          <w:p w14:paraId="5F59E23C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2.251</w:t>
            </w:r>
          </w:p>
        </w:tc>
        <w:tc>
          <w:tcPr>
            <w:tcW w:w="1552" w:type="dxa"/>
            <w:gridSpan w:val="2"/>
            <w:vAlign w:val="center"/>
          </w:tcPr>
          <w:p w14:paraId="1649103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0.273</w:t>
            </w:r>
          </w:p>
        </w:tc>
        <w:tc>
          <w:tcPr>
            <w:tcW w:w="2151" w:type="dxa"/>
            <w:gridSpan w:val="2"/>
            <w:vAlign w:val="center"/>
          </w:tcPr>
          <w:p w14:paraId="0BFFA297">
            <w:pPr>
              <w:widowControl/>
              <w:spacing w:before="0" w:after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2584" w:type="dxa"/>
            <w:gridSpan w:val="2"/>
            <w:vAlign w:val="center"/>
          </w:tcPr>
          <w:p w14:paraId="690D2C75">
            <w:pPr>
              <w:widowControl/>
              <w:spacing w:before="0" w:after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0.049</w:t>
            </w:r>
          </w:p>
        </w:tc>
      </w:tr>
      <w:tr w14:paraId="2CF62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tcBorders>
              <w:bottom w:val="single" w:color="auto" w:sz="12" w:space="0"/>
            </w:tcBorders>
            <w:vAlign w:val="center"/>
          </w:tcPr>
          <w:p w14:paraId="01ED575A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CL—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QF</w:t>
            </w:r>
          </w:p>
        </w:tc>
        <w:tc>
          <w:tcPr>
            <w:tcW w:w="1808" w:type="dxa"/>
            <w:tcBorders>
              <w:bottom w:val="single" w:color="auto" w:sz="12" w:space="0"/>
            </w:tcBorders>
            <w:vAlign w:val="center"/>
          </w:tcPr>
          <w:p w14:paraId="093CB632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1.865</w:t>
            </w:r>
          </w:p>
        </w:tc>
        <w:tc>
          <w:tcPr>
            <w:tcW w:w="1552" w:type="dxa"/>
            <w:gridSpan w:val="2"/>
            <w:tcBorders>
              <w:bottom w:val="single" w:color="auto" w:sz="12" w:space="0"/>
            </w:tcBorders>
            <w:vAlign w:val="center"/>
          </w:tcPr>
          <w:p w14:paraId="79264CDE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0.237</w:t>
            </w:r>
          </w:p>
        </w:tc>
        <w:tc>
          <w:tcPr>
            <w:tcW w:w="2151" w:type="dxa"/>
            <w:gridSpan w:val="2"/>
            <w:tcBorders>
              <w:bottom w:val="single" w:color="auto" w:sz="12" w:space="0"/>
            </w:tcBorders>
            <w:vAlign w:val="center"/>
          </w:tcPr>
          <w:p w14:paraId="4D5FD407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2584" w:type="dxa"/>
            <w:gridSpan w:val="2"/>
            <w:tcBorders>
              <w:bottom w:val="single" w:color="auto" w:sz="12" w:space="0"/>
            </w:tcBorders>
            <w:vAlign w:val="center"/>
          </w:tcPr>
          <w:p w14:paraId="7055F71E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</w:tr>
    </w:tbl>
    <w:p w14:paraId="7B343F3B">
      <w:pPr>
        <w:spacing w:before="0" w:after="0" w:line="360" w:lineRule="auto"/>
        <w:rPr>
          <w:rFonts w:ascii="Times New Roman" w:hAnsi="Times New Roman" w:eastAsia="等线" w:cs="Times New Roman"/>
          <w:b/>
          <w:color w:val="000000"/>
          <w:sz w:val="24"/>
          <w:szCs w:val="24"/>
        </w:rPr>
      </w:pPr>
    </w:p>
    <w:p w14:paraId="1E6AA1FD">
      <w:pPr>
        <w:keepNext/>
        <w:spacing w:before="0" w:after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instrText xml:space="preserve"> SEQ Table_S \* ARABIC </w:instrTex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t>4</w:t>
      </w:r>
      <w:r>
        <w:rPr>
          <w:rFonts w:ascii="Times New Roman" w:hAnsi="Times New Roman" w:eastAsia="黑体" w:cs="Times New Roman"/>
          <w:b/>
          <w:bCs/>
          <w:sz w:val="24"/>
          <w:szCs w:val="24"/>
        </w:rPr>
        <w:fldChar w:fldCharType="end"/>
      </w:r>
      <w:r>
        <w:rPr>
          <w:rFonts w:ascii="Arial" w:hAnsi="Arial" w:eastAsia="黑体" w:cs="Times New Roman"/>
          <w:sz w:val="20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Topological properties of soil bacterial co-occurrence networks in </w:t>
      </w:r>
      <w:r>
        <w:rPr>
          <w:rFonts w:hint="eastAsia" w:ascii="Times New Roman" w:hAnsi="Times New Roman" w:eastAsia="宋体" w:cs="Times New Roman"/>
          <w:sz w:val="24"/>
          <w:szCs w:val="24"/>
        </w:rPr>
        <w:t>the five</w:t>
      </w:r>
      <w:r>
        <w:rPr>
          <w:rFonts w:ascii="Times New Roman" w:hAnsi="Times New Roman" w:eastAsia="宋体" w:cs="Times New Roman"/>
          <w:sz w:val="24"/>
          <w:szCs w:val="24"/>
        </w:rPr>
        <w:t xml:space="preserve"> forest</w:t>
      </w:r>
      <w:r>
        <w:rPr>
          <w:rFonts w:hint="eastAsia" w:ascii="Times New Roman" w:hAnsi="Times New Roman" w:eastAsia="宋体" w:cs="Times New Roman"/>
          <w:sz w:val="24"/>
          <w:szCs w:val="24"/>
        </w:rPr>
        <w:t>s.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1"/>
        <w:gridCol w:w="1140"/>
        <w:gridCol w:w="1133"/>
        <w:gridCol w:w="1133"/>
        <w:gridCol w:w="1138"/>
        <w:gridCol w:w="1131"/>
      </w:tblGrid>
      <w:tr w14:paraId="410FBD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1584" w:type="pct"/>
            <w:tcBorders>
              <w:bottom w:val="single" w:color="auto" w:sz="12" w:space="0"/>
            </w:tcBorders>
            <w:noWrap/>
            <w:vAlign w:val="center"/>
          </w:tcPr>
          <w:p w14:paraId="7BD51B95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Network metrics</w:t>
            </w:r>
          </w:p>
        </w:tc>
        <w:tc>
          <w:tcPr>
            <w:tcW w:w="686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3990179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CL</w:t>
            </w:r>
          </w:p>
        </w:tc>
        <w:tc>
          <w:tcPr>
            <w:tcW w:w="68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E4FA0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QG</w:t>
            </w:r>
          </w:p>
        </w:tc>
        <w:tc>
          <w:tcPr>
            <w:tcW w:w="68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57DA85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  <w:tc>
          <w:tcPr>
            <w:tcW w:w="68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66F836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CH</w:t>
            </w:r>
          </w:p>
        </w:tc>
        <w:tc>
          <w:tcPr>
            <w:tcW w:w="681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4CE591">
            <w:pPr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QF</w:t>
            </w:r>
          </w:p>
        </w:tc>
      </w:tr>
      <w:tr w14:paraId="0B99F6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tcBorders>
              <w:top w:val="single" w:color="auto" w:sz="12" w:space="0"/>
            </w:tcBorders>
            <w:noWrap/>
            <w:vAlign w:val="center"/>
          </w:tcPr>
          <w:p w14:paraId="13D7391D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Nodes</w:t>
            </w:r>
          </w:p>
        </w:tc>
        <w:tc>
          <w:tcPr>
            <w:tcW w:w="686" w:type="pct"/>
            <w:tcBorders>
              <w:top w:val="single" w:color="auto" w:sz="12" w:space="0"/>
            </w:tcBorders>
            <w:noWrap/>
            <w:vAlign w:val="center"/>
          </w:tcPr>
          <w:p w14:paraId="42B6C1C3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682" w:type="pct"/>
            <w:tcBorders>
              <w:top w:val="single" w:color="auto" w:sz="12" w:space="0"/>
            </w:tcBorders>
            <w:vAlign w:val="center"/>
          </w:tcPr>
          <w:p w14:paraId="78342077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682" w:type="pct"/>
            <w:tcBorders>
              <w:top w:val="single" w:color="auto" w:sz="12" w:space="0"/>
            </w:tcBorders>
            <w:vAlign w:val="center"/>
          </w:tcPr>
          <w:p w14:paraId="02CE7224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685" w:type="pct"/>
            <w:tcBorders>
              <w:top w:val="single" w:color="auto" w:sz="12" w:space="0"/>
            </w:tcBorders>
            <w:vAlign w:val="center"/>
          </w:tcPr>
          <w:p w14:paraId="44FD7AC3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681" w:type="pct"/>
            <w:tcBorders>
              <w:top w:val="single" w:color="auto" w:sz="12" w:space="0"/>
            </w:tcBorders>
            <w:vAlign w:val="center"/>
          </w:tcPr>
          <w:p w14:paraId="4B5B60B6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</w:tr>
      <w:tr w14:paraId="7A86B1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2C9B9B96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Number of edges</w:t>
            </w:r>
          </w:p>
        </w:tc>
        <w:tc>
          <w:tcPr>
            <w:tcW w:w="686" w:type="pct"/>
            <w:noWrap/>
            <w:vAlign w:val="center"/>
          </w:tcPr>
          <w:p w14:paraId="68AC84AF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909</w:t>
            </w:r>
          </w:p>
        </w:tc>
        <w:tc>
          <w:tcPr>
            <w:tcW w:w="682" w:type="pct"/>
            <w:vAlign w:val="center"/>
          </w:tcPr>
          <w:p w14:paraId="3D6B1A72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1248</w:t>
            </w:r>
          </w:p>
        </w:tc>
        <w:tc>
          <w:tcPr>
            <w:tcW w:w="682" w:type="pct"/>
            <w:vAlign w:val="center"/>
          </w:tcPr>
          <w:p w14:paraId="50E25E55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2006</w:t>
            </w:r>
          </w:p>
        </w:tc>
        <w:tc>
          <w:tcPr>
            <w:tcW w:w="685" w:type="pct"/>
            <w:vAlign w:val="center"/>
          </w:tcPr>
          <w:p w14:paraId="1749B155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999</w:t>
            </w:r>
          </w:p>
        </w:tc>
        <w:tc>
          <w:tcPr>
            <w:tcW w:w="681" w:type="pct"/>
            <w:vAlign w:val="center"/>
          </w:tcPr>
          <w:p w14:paraId="0124C42D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2094</w:t>
            </w:r>
          </w:p>
        </w:tc>
      </w:tr>
      <w:tr w14:paraId="361791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1C660C61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Number of positive edges (proportion of positive edges)</w:t>
            </w:r>
          </w:p>
        </w:tc>
        <w:tc>
          <w:tcPr>
            <w:tcW w:w="686" w:type="pct"/>
            <w:noWrap/>
            <w:vAlign w:val="center"/>
          </w:tcPr>
          <w:p w14:paraId="11F5945F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747</w:t>
            </w:r>
          </w:p>
        </w:tc>
        <w:tc>
          <w:tcPr>
            <w:tcW w:w="682" w:type="pct"/>
            <w:vAlign w:val="center"/>
          </w:tcPr>
          <w:p w14:paraId="1549BDA8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988</w:t>
            </w:r>
          </w:p>
        </w:tc>
        <w:tc>
          <w:tcPr>
            <w:tcW w:w="682" w:type="pct"/>
            <w:vAlign w:val="center"/>
          </w:tcPr>
          <w:p w14:paraId="48FD91E6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1802</w:t>
            </w:r>
          </w:p>
        </w:tc>
        <w:tc>
          <w:tcPr>
            <w:tcW w:w="685" w:type="pct"/>
            <w:vAlign w:val="center"/>
          </w:tcPr>
          <w:p w14:paraId="42D3036A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847</w:t>
            </w:r>
          </w:p>
        </w:tc>
        <w:tc>
          <w:tcPr>
            <w:tcW w:w="681" w:type="pct"/>
            <w:vAlign w:val="center"/>
          </w:tcPr>
          <w:p w14:paraId="3436D1B3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1875</w:t>
            </w:r>
          </w:p>
        </w:tc>
      </w:tr>
      <w:tr w14:paraId="2FD0E7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41431929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Number of negative edges (proportion of negative edges)</w:t>
            </w:r>
          </w:p>
        </w:tc>
        <w:tc>
          <w:tcPr>
            <w:tcW w:w="686" w:type="pct"/>
            <w:noWrap/>
            <w:vAlign w:val="center"/>
          </w:tcPr>
          <w:p w14:paraId="4628FFE1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682" w:type="pct"/>
            <w:vAlign w:val="center"/>
          </w:tcPr>
          <w:p w14:paraId="2DED273E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682" w:type="pct"/>
            <w:vAlign w:val="center"/>
          </w:tcPr>
          <w:p w14:paraId="7E073A74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685" w:type="pct"/>
            <w:vAlign w:val="center"/>
          </w:tcPr>
          <w:p w14:paraId="765A7889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681" w:type="pct"/>
            <w:vAlign w:val="center"/>
          </w:tcPr>
          <w:p w14:paraId="07CF1E7A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</w:tr>
      <w:tr w14:paraId="688006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7C59166F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Average degree</w:t>
            </w:r>
          </w:p>
        </w:tc>
        <w:tc>
          <w:tcPr>
            <w:tcW w:w="686" w:type="pct"/>
            <w:noWrap/>
            <w:vAlign w:val="center"/>
          </w:tcPr>
          <w:p w14:paraId="00BE894E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10.694</w:t>
            </w:r>
          </w:p>
        </w:tc>
        <w:tc>
          <w:tcPr>
            <w:tcW w:w="682" w:type="pct"/>
            <w:vAlign w:val="center"/>
          </w:tcPr>
          <w:p w14:paraId="28A614E2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11.556</w:t>
            </w:r>
          </w:p>
        </w:tc>
        <w:tc>
          <w:tcPr>
            <w:tcW w:w="682" w:type="pct"/>
            <w:vAlign w:val="center"/>
          </w:tcPr>
          <w:p w14:paraId="067BE7A4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FF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19.476</w:t>
            </w:r>
          </w:p>
        </w:tc>
        <w:tc>
          <w:tcPr>
            <w:tcW w:w="685" w:type="pct"/>
            <w:vAlign w:val="center"/>
          </w:tcPr>
          <w:p w14:paraId="5A722CC5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10.571</w:t>
            </w:r>
          </w:p>
        </w:tc>
        <w:tc>
          <w:tcPr>
            <w:tcW w:w="681" w:type="pct"/>
            <w:vAlign w:val="center"/>
          </w:tcPr>
          <w:p w14:paraId="692C6DE0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16.619</w:t>
            </w:r>
          </w:p>
        </w:tc>
      </w:tr>
      <w:tr w14:paraId="726FBF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12879FA5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Network density</w:t>
            </w:r>
          </w:p>
        </w:tc>
        <w:tc>
          <w:tcPr>
            <w:tcW w:w="686" w:type="pct"/>
            <w:noWrap/>
            <w:vAlign w:val="center"/>
          </w:tcPr>
          <w:p w14:paraId="780449AA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0.063</w:t>
            </w:r>
          </w:p>
        </w:tc>
        <w:tc>
          <w:tcPr>
            <w:tcW w:w="682" w:type="pct"/>
            <w:vAlign w:val="center"/>
          </w:tcPr>
          <w:p w14:paraId="578AFEF6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0.054</w:t>
            </w:r>
          </w:p>
        </w:tc>
        <w:tc>
          <w:tcPr>
            <w:tcW w:w="682" w:type="pct"/>
            <w:vAlign w:val="center"/>
          </w:tcPr>
          <w:p w14:paraId="0A63F51E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0.095</w:t>
            </w:r>
          </w:p>
        </w:tc>
        <w:tc>
          <w:tcPr>
            <w:tcW w:w="685" w:type="pct"/>
            <w:vAlign w:val="center"/>
          </w:tcPr>
          <w:p w14:paraId="37BF39E5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0.056</w:t>
            </w:r>
          </w:p>
        </w:tc>
        <w:tc>
          <w:tcPr>
            <w:tcW w:w="681" w:type="pct"/>
            <w:vAlign w:val="center"/>
          </w:tcPr>
          <w:p w14:paraId="3E1CD04C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0.066</w:t>
            </w:r>
          </w:p>
        </w:tc>
      </w:tr>
      <w:tr w14:paraId="08CCCB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441B7E1E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Modularity</w:t>
            </w:r>
          </w:p>
        </w:tc>
        <w:tc>
          <w:tcPr>
            <w:tcW w:w="686" w:type="pct"/>
            <w:noWrap/>
            <w:vAlign w:val="center"/>
          </w:tcPr>
          <w:p w14:paraId="6DC2113F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0.842</w:t>
            </w:r>
          </w:p>
        </w:tc>
        <w:tc>
          <w:tcPr>
            <w:tcW w:w="682" w:type="pct"/>
            <w:vAlign w:val="center"/>
          </w:tcPr>
          <w:p w14:paraId="491CA19C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0.878</w:t>
            </w:r>
          </w:p>
        </w:tc>
        <w:tc>
          <w:tcPr>
            <w:tcW w:w="682" w:type="pct"/>
            <w:vAlign w:val="center"/>
          </w:tcPr>
          <w:p w14:paraId="6A70C419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0.635</w:t>
            </w:r>
          </w:p>
        </w:tc>
        <w:tc>
          <w:tcPr>
            <w:tcW w:w="685" w:type="pct"/>
            <w:vAlign w:val="center"/>
          </w:tcPr>
          <w:p w14:paraId="031FD88A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0.878</w:t>
            </w:r>
          </w:p>
        </w:tc>
        <w:tc>
          <w:tcPr>
            <w:tcW w:w="681" w:type="pct"/>
            <w:vAlign w:val="center"/>
          </w:tcPr>
          <w:p w14:paraId="77C2D75C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0.767</w:t>
            </w:r>
          </w:p>
        </w:tc>
      </w:tr>
      <w:tr w14:paraId="6C8181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339D42B8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Average clustering coefficient</w:t>
            </w:r>
          </w:p>
        </w:tc>
        <w:tc>
          <w:tcPr>
            <w:tcW w:w="686" w:type="pct"/>
            <w:noWrap/>
            <w:vAlign w:val="center"/>
          </w:tcPr>
          <w:p w14:paraId="33154DBC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0.976</w:t>
            </w:r>
          </w:p>
        </w:tc>
        <w:tc>
          <w:tcPr>
            <w:tcW w:w="682" w:type="pct"/>
            <w:vAlign w:val="center"/>
          </w:tcPr>
          <w:p w14:paraId="5353E450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0.954</w:t>
            </w:r>
          </w:p>
        </w:tc>
        <w:tc>
          <w:tcPr>
            <w:tcW w:w="682" w:type="pct"/>
            <w:vAlign w:val="center"/>
          </w:tcPr>
          <w:p w14:paraId="546AA1AF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0.971</w:t>
            </w:r>
          </w:p>
        </w:tc>
        <w:tc>
          <w:tcPr>
            <w:tcW w:w="685" w:type="pct"/>
            <w:vAlign w:val="center"/>
          </w:tcPr>
          <w:p w14:paraId="19C9A180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0.979</w:t>
            </w:r>
          </w:p>
        </w:tc>
        <w:tc>
          <w:tcPr>
            <w:tcW w:w="681" w:type="pct"/>
            <w:vAlign w:val="center"/>
          </w:tcPr>
          <w:p w14:paraId="674566B1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0.984</w:t>
            </w:r>
          </w:p>
        </w:tc>
      </w:tr>
      <w:tr w14:paraId="0118E4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3F454BE7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Connected components</w:t>
            </w:r>
          </w:p>
        </w:tc>
        <w:tc>
          <w:tcPr>
            <w:tcW w:w="686" w:type="pct"/>
            <w:noWrap/>
            <w:vAlign w:val="center"/>
          </w:tcPr>
          <w:p w14:paraId="607DAB5E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82" w:type="pct"/>
            <w:vAlign w:val="center"/>
          </w:tcPr>
          <w:p w14:paraId="502415CE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82" w:type="pct"/>
            <w:vAlign w:val="center"/>
          </w:tcPr>
          <w:p w14:paraId="136565D1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85" w:type="pct"/>
            <w:vAlign w:val="center"/>
          </w:tcPr>
          <w:p w14:paraId="33FFBE92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681" w:type="pct"/>
            <w:vAlign w:val="center"/>
          </w:tcPr>
          <w:p w14:paraId="753EB0FE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14:paraId="7217B8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330F69DD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Network robustness</w:t>
            </w:r>
          </w:p>
        </w:tc>
        <w:tc>
          <w:tcPr>
            <w:tcW w:w="686" w:type="pct"/>
            <w:noWrap/>
            <w:vAlign w:val="center"/>
          </w:tcPr>
          <w:p w14:paraId="715D1CBF">
            <w:pPr>
              <w:widowControl/>
              <w:spacing w:before="0" w:after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682" w:type="pct"/>
            <w:vAlign w:val="center"/>
          </w:tcPr>
          <w:p w14:paraId="1C24D273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0.131</w:t>
            </w:r>
          </w:p>
        </w:tc>
        <w:tc>
          <w:tcPr>
            <w:tcW w:w="682" w:type="pct"/>
            <w:vAlign w:val="center"/>
          </w:tcPr>
          <w:p w14:paraId="4BAA35CE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0.269</w:t>
            </w:r>
          </w:p>
        </w:tc>
        <w:tc>
          <w:tcPr>
            <w:tcW w:w="685" w:type="pct"/>
            <w:vAlign w:val="center"/>
          </w:tcPr>
          <w:p w14:paraId="5BDF0A3C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0.143</w:t>
            </w:r>
          </w:p>
        </w:tc>
        <w:tc>
          <w:tcPr>
            <w:tcW w:w="681" w:type="pct"/>
            <w:vAlign w:val="center"/>
          </w:tcPr>
          <w:p w14:paraId="169876F1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0.194</w:t>
            </w:r>
          </w:p>
        </w:tc>
      </w:tr>
      <w:tr w14:paraId="2C91BE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584" w:type="pct"/>
            <w:noWrap/>
            <w:vAlign w:val="center"/>
          </w:tcPr>
          <w:p w14:paraId="130F80CB">
            <w:pPr>
              <w:widowControl/>
              <w:spacing w:before="0" w:after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Network vulnerability (random removal of 50% of nodes)</w:t>
            </w:r>
          </w:p>
        </w:tc>
        <w:tc>
          <w:tcPr>
            <w:tcW w:w="686" w:type="pct"/>
            <w:noWrap/>
            <w:vAlign w:val="center"/>
          </w:tcPr>
          <w:p w14:paraId="54CCAC8F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0.081</w:t>
            </w:r>
          </w:p>
        </w:tc>
        <w:tc>
          <w:tcPr>
            <w:tcW w:w="682" w:type="pct"/>
            <w:vAlign w:val="center"/>
          </w:tcPr>
          <w:p w14:paraId="4B04C85C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0.060</w:t>
            </w:r>
          </w:p>
        </w:tc>
        <w:tc>
          <w:tcPr>
            <w:tcW w:w="682" w:type="pct"/>
            <w:vAlign w:val="center"/>
          </w:tcPr>
          <w:p w14:paraId="1187462B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0.109</w:t>
            </w:r>
          </w:p>
        </w:tc>
        <w:tc>
          <w:tcPr>
            <w:tcW w:w="685" w:type="pct"/>
            <w:vAlign w:val="center"/>
          </w:tcPr>
          <w:p w14:paraId="0D9BA3CF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  <w:tc>
          <w:tcPr>
            <w:tcW w:w="681" w:type="pct"/>
            <w:vAlign w:val="center"/>
          </w:tcPr>
          <w:p w14:paraId="26E7FAEB">
            <w:pPr>
              <w:widowControl/>
              <w:spacing w:before="0" w:after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</w:tr>
    </w:tbl>
    <w:p w14:paraId="6E3780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86"/>
    <w:rsid w:val="00000A43"/>
    <w:rsid w:val="00065F63"/>
    <w:rsid w:val="0007165A"/>
    <w:rsid w:val="00073164"/>
    <w:rsid w:val="0007782D"/>
    <w:rsid w:val="000B60BB"/>
    <w:rsid w:val="000F45CE"/>
    <w:rsid w:val="00132C34"/>
    <w:rsid w:val="00137EBD"/>
    <w:rsid w:val="001921D6"/>
    <w:rsid w:val="00197762"/>
    <w:rsid w:val="001A4C6E"/>
    <w:rsid w:val="001B4E44"/>
    <w:rsid w:val="001C5982"/>
    <w:rsid w:val="001D461D"/>
    <w:rsid w:val="001F215C"/>
    <w:rsid w:val="001F252C"/>
    <w:rsid w:val="00200C3C"/>
    <w:rsid w:val="00200DCB"/>
    <w:rsid w:val="00273B06"/>
    <w:rsid w:val="002A07FF"/>
    <w:rsid w:val="002C0535"/>
    <w:rsid w:val="002D4E38"/>
    <w:rsid w:val="002F3194"/>
    <w:rsid w:val="002F3FD1"/>
    <w:rsid w:val="00302C2F"/>
    <w:rsid w:val="00305C08"/>
    <w:rsid w:val="003129B8"/>
    <w:rsid w:val="00317587"/>
    <w:rsid w:val="003329E5"/>
    <w:rsid w:val="00346FC1"/>
    <w:rsid w:val="003478C8"/>
    <w:rsid w:val="003545B6"/>
    <w:rsid w:val="00375C24"/>
    <w:rsid w:val="0039140F"/>
    <w:rsid w:val="00395314"/>
    <w:rsid w:val="003A05F7"/>
    <w:rsid w:val="003D0428"/>
    <w:rsid w:val="003E1952"/>
    <w:rsid w:val="004030CB"/>
    <w:rsid w:val="00486804"/>
    <w:rsid w:val="004A2808"/>
    <w:rsid w:val="004C014D"/>
    <w:rsid w:val="004E332F"/>
    <w:rsid w:val="004F3C39"/>
    <w:rsid w:val="005008E6"/>
    <w:rsid w:val="0050675E"/>
    <w:rsid w:val="00551A2D"/>
    <w:rsid w:val="00571977"/>
    <w:rsid w:val="005B4E40"/>
    <w:rsid w:val="005B579E"/>
    <w:rsid w:val="005B75F5"/>
    <w:rsid w:val="005D70DF"/>
    <w:rsid w:val="005D7BB2"/>
    <w:rsid w:val="005E0314"/>
    <w:rsid w:val="005E1A89"/>
    <w:rsid w:val="005F6A27"/>
    <w:rsid w:val="005F78A2"/>
    <w:rsid w:val="0060245B"/>
    <w:rsid w:val="0060778E"/>
    <w:rsid w:val="00631105"/>
    <w:rsid w:val="00647F13"/>
    <w:rsid w:val="006613AB"/>
    <w:rsid w:val="006B43BE"/>
    <w:rsid w:val="006C012B"/>
    <w:rsid w:val="006D07ED"/>
    <w:rsid w:val="006D18F5"/>
    <w:rsid w:val="006D2180"/>
    <w:rsid w:val="006D714C"/>
    <w:rsid w:val="006F2D3A"/>
    <w:rsid w:val="00700B6D"/>
    <w:rsid w:val="00737E60"/>
    <w:rsid w:val="007667CC"/>
    <w:rsid w:val="007A1FBE"/>
    <w:rsid w:val="007C442F"/>
    <w:rsid w:val="007D5378"/>
    <w:rsid w:val="007F0ACA"/>
    <w:rsid w:val="00804CD7"/>
    <w:rsid w:val="008069E8"/>
    <w:rsid w:val="008D39F5"/>
    <w:rsid w:val="008F470C"/>
    <w:rsid w:val="008F7F31"/>
    <w:rsid w:val="009058A4"/>
    <w:rsid w:val="00914B86"/>
    <w:rsid w:val="00927ACD"/>
    <w:rsid w:val="00936210"/>
    <w:rsid w:val="00992506"/>
    <w:rsid w:val="00996E96"/>
    <w:rsid w:val="009D46EF"/>
    <w:rsid w:val="00A05FB5"/>
    <w:rsid w:val="00A06526"/>
    <w:rsid w:val="00A101BC"/>
    <w:rsid w:val="00A23C12"/>
    <w:rsid w:val="00A2496D"/>
    <w:rsid w:val="00A332BB"/>
    <w:rsid w:val="00A41C99"/>
    <w:rsid w:val="00A44E8B"/>
    <w:rsid w:val="00A66CC7"/>
    <w:rsid w:val="00A671F9"/>
    <w:rsid w:val="00A754AA"/>
    <w:rsid w:val="00A96B50"/>
    <w:rsid w:val="00AB4FA0"/>
    <w:rsid w:val="00AD04C7"/>
    <w:rsid w:val="00AE1726"/>
    <w:rsid w:val="00AE1EC3"/>
    <w:rsid w:val="00B005E1"/>
    <w:rsid w:val="00B12A30"/>
    <w:rsid w:val="00B1515F"/>
    <w:rsid w:val="00B3347B"/>
    <w:rsid w:val="00B529C5"/>
    <w:rsid w:val="00B541FB"/>
    <w:rsid w:val="00BC020C"/>
    <w:rsid w:val="00BE48AC"/>
    <w:rsid w:val="00BF2DC6"/>
    <w:rsid w:val="00C10183"/>
    <w:rsid w:val="00C3517B"/>
    <w:rsid w:val="00C4683D"/>
    <w:rsid w:val="00C51CF0"/>
    <w:rsid w:val="00C623FE"/>
    <w:rsid w:val="00CC2509"/>
    <w:rsid w:val="00CD0F81"/>
    <w:rsid w:val="00CD3981"/>
    <w:rsid w:val="00CE1110"/>
    <w:rsid w:val="00CF257D"/>
    <w:rsid w:val="00CF7725"/>
    <w:rsid w:val="00D05B8A"/>
    <w:rsid w:val="00D060DC"/>
    <w:rsid w:val="00D1251A"/>
    <w:rsid w:val="00D13480"/>
    <w:rsid w:val="00D140B8"/>
    <w:rsid w:val="00D22A61"/>
    <w:rsid w:val="00D3436F"/>
    <w:rsid w:val="00D35619"/>
    <w:rsid w:val="00D41235"/>
    <w:rsid w:val="00D73891"/>
    <w:rsid w:val="00D8105A"/>
    <w:rsid w:val="00D83530"/>
    <w:rsid w:val="00D878AD"/>
    <w:rsid w:val="00DF0474"/>
    <w:rsid w:val="00E33D74"/>
    <w:rsid w:val="00E741AF"/>
    <w:rsid w:val="00EB0E24"/>
    <w:rsid w:val="00EB54C4"/>
    <w:rsid w:val="00EC7728"/>
    <w:rsid w:val="00EE496E"/>
    <w:rsid w:val="00F13E58"/>
    <w:rsid w:val="00F207EA"/>
    <w:rsid w:val="00F31B6E"/>
    <w:rsid w:val="00F554EF"/>
    <w:rsid w:val="00F56CBB"/>
    <w:rsid w:val="00F62524"/>
    <w:rsid w:val="00F73D60"/>
    <w:rsid w:val="00F94AFD"/>
    <w:rsid w:val="00F97022"/>
    <w:rsid w:val="00FE7413"/>
    <w:rsid w:val="00FF4435"/>
    <w:rsid w:val="0CBD5AA3"/>
    <w:rsid w:val="1C85419F"/>
    <w:rsid w:val="3C7426C0"/>
    <w:rsid w:val="4B1E29CC"/>
    <w:rsid w:val="4B995EC1"/>
    <w:rsid w:val="4EE42BCA"/>
    <w:rsid w:val="54E363FA"/>
    <w:rsid w:val="633D721D"/>
    <w:rsid w:val="75BC511D"/>
    <w:rsid w:val="77EB7C97"/>
    <w:rsid w:val="79E5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0"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0"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before="0"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37609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37609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table" w:customStyle="1" w:styleId="39">
    <w:name w:val="网格型3"/>
    <w:qFormat/>
    <w:uiPriority w:val="0"/>
    <w:pPr>
      <w:widowControl w:val="0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未处理的提及1"/>
    <w:basedOn w:val="1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87C86-8F1D-4DBA-A1C8-8D2CFB3F7A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159</Words>
  <Characters>930</Characters>
  <Lines>34</Lines>
  <Paragraphs>9</Paragraphs>
  <TotalTime>205</TotalTime>
  <ScaleCrop>false</ScaleCrop>
  <LinksUpToDate>false</LinksUpToDate>
  <CharactersWithSpaces>1079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2026-04-22T14:06:00Z</dcterms:created>
  <dc:creator>凯 黄</dc:creator>
  <cp:lastModifiedBy>心中装着百姓</cp:lastModifiedBy>
  <dcterms:modified xsi:type="dcterms:W3CDTF">2026-06-08T08:42:03Z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eyJoZGlkIjoiZDljNGJlNjFiMDA2M2JiNmU5Mzg2YzEwYjc3YzQzYWYiLCJ1c2VySWQiOiIzMTY4ODkxODQifQ==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CDC8112300B94C10876F81BD62124162_13</vt:lpwstr>
  </property>
</Properties>
</file>