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828F0D">
      <w:pPr>
        <w:widowControl/>
        <w:spacing w:line="480" w:lineRule="auto"/>
        <w:jc w:val="center"/>
        <w:rPr>
          <w:rFonts w:hint="default" w:ascii="Times New Roman Regular" w:hAnsi="Times New Roman Regular" w:eastAsia="宋体" w:cs="Times New Roman Regular"/>
          <w:b/>
          <w:bCs/>
          <w:color w:val="000000"/>
          <w:kern w:val="0"/>
          <w:sz w:val="24"/>
        </w:rPr>
      </w:pPr>
      <w:r>
        <w:rPr>
          <w:rFonts w:hint="default" w:ascii="Times New Roman Regular" w:hAnsi="Times New Roman Regular" w:eastAsia="宋体" w:cs="Times New Roman Regular"/>
          <w:b/>
          <w:bCs/>
          <w:color w:val="000000"/>
          <w:kern w:val="0"/>
          <w:sz w:val="24"/>
        </w:rPr>
        <w:t>Brain–computer interface-assisted pneumatic hand training improves upper limb function after stroke: a randomized controlled trial and EEG characterization</w:t>
      </w:r>
    </w:p>
    <w:p w14:paraId="3615BEC7">
      <w:pPr>
        <w:rPr>
          <w:rFonts w:hint="default" w:ascii="Times New Roman Regular" w:hAnsi="Times New Roman Regular" w:cs="Times New Roman Regular"/>
          <w:b/>
          <w:bCs/>
        </w:rPr>
      </w:pPr>
      <w:r>
        <w:rPr>
          <w:rFonts w:hint="default" w:ascii="Times New Roman Regular" w:hAnsi="Times New Roman Regular" w:cs="Times New Roman Regular"/>
          <w:b/>
          <w:bCs/>
          <w:lang w:val="en-US" w:eastAsia="zh-CN"/>
        </w:rPr>
        <w:t>Research protocol: part 1</w:t>
      </w:r>
    </w:p>
    <w:p w14:paraId="0B714FE2">
      <w:pPr>
        <w:rPr>
          <w:rFonts w:hint="default" w:ascii="Times New Roman Regular" w:hAnsi="Times New Roman Regular" w:cs="Times New Roman Regular"/>
          <w:b/>
          <w:bCs/>
        </w:rPr>
      </w:pPr>
    </w:p>
    <w:p w14:paraId="10FD0F8B">
      <w:pPr>
        <w:rPr>
          <w:rFonts w:hint="default" w:ascii="Times New Roman Regular" w:hAnsi="Times New Roman Regular" w:cs="Times New Roman Regular"/>
          <w:b/>
          <w:bCs/>
        </w:rPr>
      </w:pPr>
      <w:r>
        <w:rPr>
          <w:rFonts w:hint="default" w:ascii="Times New Roman Regular" w:hAnsi="Times New Roman Regular" w:cs="Times New Roman Regular"/>
          <w:b/>
          <w:bCs/>
        </w:rPr>
        <w:t>Project summary</w:t>
      </w:r>
    </w:p>
    <w:p w14:paraId="1AF82B4F">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b/>
          <w:bCs/>
        </w:rPr>
        <w:t>Background</w:t>
      </w:r>
      <w:r>
        <w:rPr>
          <w:rFonts w:hint="default" w:ascii="Times New Roman Regular" w:hAnsi="Times New Roman Regular" w:cs="Times New Roman Regular"/>
        </w:rPr>
        <w:t>: The clinical efficacy of brain–computer interface (BCI)–based rehabilitation after stroke remains uncertain, particularly in the subacute phase, where evidence is limited and clinically meaningful improvement is seldom evaluated. This study aimed to investigate the therapeutic efficacy and electrophysiological mechanisms of BCI-assisted pneumatic hand training in subacute stroke.</w:t>
      </w:r>
      <w:r>
        <w:rPr>
          <w:rFonts w:hint="default" w:ascii="Times New Roman Regular" w:hAnsi="Times New Roman Regular" w:cs="Times New Roman Regular"/>
          <w:lang w:val="en-US" w:eastAsia="zh-CN"/>
        </w:rPr>
        <w:t xml:space="preserve"> </w:t>
      </w:r>
      <w:r>
        <w:rPr>
          <w:rFonts w:hint="default" w:ascii="Times New Roman Regular" w:hAnsi="Times New Roman Regular" w:cs="Times New Roman Regular"/>
          <w:b/>
          <w:bCs/>
        </w:rPr>
        <w:t>Methods</w:t>
      </w:r>
      <w:r>
        <w:rPr>
          <w:rFonts w:hint="default" w:ascii="Times New Roman Regular" w:hAnsi="Times New Roman Regular" w:cs="Times New Roman Regular"/>
        </w:rPr>
        <w:t>: In this prospective randomized controlled trial, 129 patients with stroke were assigned to a BCI group (n = 72) or a control group (n = 57). Upper limb function was assessed using FMA-UE, ARAT, WMFT, and MBI. Clinically meaningful improvement was evaluated based on minimal clinically important difference (MCID). Resting-state EEG was analyzed for spectral power and topographic distribution.</w:t>
      </w:r>
      <w:r>
        <w:rPr>
          <w:rFonts w:hint="default" w:ascii="Times New Roman Regular" w:hAnsi="Times New Roman Regular" w:cs="Times New Roman Regular"/>
          <w:lang w:val="en-US" w:eastAsia="zh-CN"/>
        </w:rPr>
        <w:t xml:space="preserve"> </w:t>
      </w:r>
      <w:r>
        <w:rPr>
          <w:rFonts w:hint="default" w:ascii="Times New Roman Regular" w:hAnsi="Times New Roman Regular" w:cs="Times New Roman Regular"/>
          <w:b/>
          <w:bCs/>
        </w:rPr>
        <w:t>Results</w:t>
      </w:r>
      <w:r>
        <w:rPr>
          <w:rFonts w:hint="default" w:ascii="Times New Roman Regular" w:hAnsi="Times New Roman Regular" w:cs="Times New Roman Regular"/>
        </w:rPr>
        <w:t>: The BCI group demonstrated greater improvement in FMA-UE scores than the control group (11.57 ± 7.98 vs 5.94 ± 6.13, p = 0.01). A higher proportion of patients in the BCI group achieved MCID in FMA-UE, ARAT, and WMFT. EEG analysis revealed increased beta-band power following BCI intervention, predominantly over central and parietal regions. Between-group comparisons showed greater beta-band changes in the BCI group. Post-treatment, no significant differences were observed between the BCI group and healthy controls, suggesting a normalization trend.</w:t>
      </w:r>
      <w:r>
        <w:rPr>
          <w:rFonts w:hint="default" w:ascii="Times New Roman Regular" w:hAnsi="Times New Roman Regular" w:cs="Times New Roman Regular"/>
          <w:lang w:val="en-US" w:eastAsia="zh-CN"/>
        </w:rPr>
        <w:t xml:space="preserve"> </w:t>
      </w:r>
      <w:r>
        <w:rPr>
          <w:rFonts w:hint="default" w:ascii="Times New Roman Regular" w:hAnsi="Times New Roman Regular" w:cs="Times New Roman Regular"/>
          <w:b/>
          <w:bCs/>
        </w:rPr>
        <w:t>Conclusion</w:t>
      </w:r>
      <w:r>
        <w:rPr>
          <w:rFonts w:hint="default" w:ascii="Times New Roman Regular" w:hAnsi="Times New Roman Regular" w:cs="Times New Roman Regular"/>
        </w:rPr>
        <w:t>: BCI-assisted pneumatic hand training enhances upper limb recovery in subacute stroke and is associated with increased beta-band activity, indicating potential neurophysiological mechanisms of motor recovery.</w:t>
      </w:r>
    </w:p>
    <w:p w14:paraId="29C83CA8">
      <w:pPr>
        <w:rPr>
          <w:rFonts w:hint="default" w:ascii="Times New Roman Regular" w:hAnsi="Times New Roman Regular" w:cs="Times New Roman Regular"/>
          <w:b/>
          <w:bCs/>
        </w:rPr>
      </w:pPr>
    </w:p>
    <w:p w14:paraId="3D185228">
      <w:pPr>
        <w:rPr>
          <w:rFonts w:hint="default" w:ascii="Times New Roman Regular" w:hAnsi="Times New Roman Regular" w:cs="Times New Roman Regular"/>
          <w:b/>
          <w:bCs/>
        </w:rPr>
      </w:pPr>
      <w:r>
        <w:rPr>
          <w:rFonts w:hint="default" w:ascii="Times New Roman Regular" w:hAnsi="Times New Roman Regular" w:cs="Times New Roman Regular"/>
          <w:b/>
          <w:bCs/>
        </w:rPr>
        <w:t>General information</w:t>
      </w:r>
    </w:p>
    <w:p w14:paraId="4E0191DD">
      <w:pPr>
        <w:numPr>
          <w:ilvl w:val="0"/>
          <w:numId w:val="1"/>
        </w:numPr>
        <w:ind w:left="420" w:leftChars="0" w:hanging="420" w:firstLineChars="0"/>
        <w:rPr>
          <w:rFonts w:hint="default" w:ascii="Times New Roman Regular" w:hAnsi="Times New Roman Regular" w:cs="Times New Roman Regular"/>
        </w:rPr>
      </w:pPr>
      <w:r>
        <w:rPr>
          <w:rFonts w:hint="default" w:ascii="Times New Roman Regular" w:hAnsi="Times New Roman Regular" w:cs="Times New Roman Regular"/>
        </w:rPr>
        <w:t>This study was supported by the National Clinical Key Specialty Construction Project (XKB2023A2001), the General Program of the National Natural Science Foundation of China (82572934), and the High-Level Innovation Talent Program · Dengfeng Initiative (G202511047).</w:t>
      </w:r>
    </w:p>
    <w:p w14:paraId="45BCD774">
      <w:pPr>
        <w:numPr>
          <w:ilvl w:val="0"/>
          <w:numId w:val="1"/>
        </w:numPr>
        <w:ind w:left="420" w:leftChars="0" w:hanging="420" w:firstLineChars="0"/>
        <w:rPr>
          <w:rFonts w:hint="default" w:ascii="Times New Roman Regular" w:hAnsi="Times New Roman Regular" w:cs="Times New Roman Regular"/>
        </w:rPr>
      </w:pPr>
      <w:r>
        <w:rPr>
          <w:rFonts w:hint="default" w:ascii="Times New Roman Regular" w:hAnsi="Times New Roman Regular" w:cs="Times New Roman Regular"/>
        </w:rPr>
        <w:t>Principal Investigator: Yu Pan, MD, Department of Rehabilitation Medicine, Beijing Tsinghua Changgung Hospital, School of Clinical Medicine, Tsinghua University, Beijing 102218, China. Email: panyu@btch.edu.cn. The Principal Investigator is responsible for the overall study design, supervision and coordination of the trial, oversight of data integrity and participant safety, and critical revision of study reports.</w:t>
      </w:r>
    </w:p>
    <w:p w14:paraId="404A3EFD">
      <w:pPr>
        <w:numPr>
          <w:ilvl w:val="0"/>
          <w:numId w:val="1"/>
        </w:numPr>
        <w:ind w:left="420" w:leftChars="0" w:hanging="420" w:firstLineChars="0"/>
        <w:rPr>
          <w:rFonts w:hint="default" w:ascii="Times New Roman Regular" w:hAnsi="Times New Roman Regular" w:cs="Times New Roman Regular"/>
        </w:rPr>
      </w:pPr>
      <w:r>
        <w:rPr>
          <w:rFonts w:hint="default" w:ascii="Times New Roman Regular" w:hAnsi="Times New Roman Regular" w:cs="Times New Roman Regular"/>
          <w:b/>
        </w:rPr>
        <w:t>Co-Investigators and responsibilities:</w:t>
      </w:r>
    </w:p>
    <w:p w14:paraId="4112F0A7">
      <w:pPr>
        <w:numPr>
          <w:ilvl w:val="0"/>
          <w:numId w:val="1"/>
        </w:numPr>
        <w:ind w:left="420" w:leftChars="0" w:hanging="420" w:firstLineChars="0"/>
        <w:rPr>
          <w:rFonts w:hint="default" w:ascii="Times New Roman Regular" w:hAnsi="Times New Roman Regular" w:cs="Times New Roman Regular"/>
        </w:rPr>
      </w:pPr>
      <w:r>
        <w:rPr>
          <w:rFonts w:hint="default" w:ascii="Times New Roman Regular" w:hAnsi="Times New Roman Regular" w:cs="Times New Roman Regular"/>
        </w:rPr>
        <w:t>Xiang Cheng (Department of Rehabilitation Medicine): study conceptualization, EEG/neuroimaging analysis, statistical modeling, and drafting of study reports.</w:t>
      </w:r>
    </w:p>
    <w:p w14:paraId="090100A2">
      <w:pPr>
        <w:numPr>
          <w:ilvl w:val="0"/>
          <w:numId w:val="1"/>
        </w:numPr>
        <w:ind w:left="420" w:leftChars="0" w:hanging="420" w:firstLineChars="0"/>
        <w:rPr>
          <w:rFonts w:hint="default" w:ascii="Times New Roman Regular" w:hAnsi="Times New Roman Regular" w:cs="Times New Roman Regular"/>
        </w:rPr>
      </w:pPr>
      <w:r>
        <w:rPr>
          <w:rFonts w:hint="default" w:ascii="Times New Roman Regular" w:hAnsi="Times New Roman Regular" w:cs="Times New Roman Regular"/>
        </w:rPr>
        <w:t>Xiangyu Deng (Department of Rehabilitation Medicine): clinical study design, interpretation of clinical findings, and manuscript drafting and revision.</w:t>
      </w:r>
    </w:p>
    <w:p w14:paraId="4F0CC633">
      <w:pPr>
        <w:numPr>
          <w:ilvl w:val="0"/>
          <w:numId w:val="1"/>
        </w:numPr>
        <w:ind w:left="420" w:leftChars="0" w:hanging="420" w:firstLineChars="0"/>
        <w:rPr>
          <w:rFonts w:hint="default" w:ascii="Times New Roman Regular" w:hAnsi="Times New Roman Regular" w:cs="Times New Roman Regular"/>
        </w:rPr>
      </w:pPr>
      <w:r>
        <w:rPr>
          <w:rFonts w:hint="default" w:ascii="Times New Roman Regular" w:hAnsi="Times New Roman Regular" w:cs="Times New Roman Regular"/>
        </w:rPr>
        <w:t>Mingchen Zheng (Department of Electronic Engineering, Tsinghua University): data acquisition and technical support for the signal-processing pipeline.</w:t>
      </w:r>
    </w:p>
    <w:p w14:paraId="23D36DF1">
      <w:pPr>
        <w:numPr>
          <w:ilvl w:val="0"/>
          <w:numId w:val="1"/>
        </w:numPr>
        <w:ind w:left="420" w:leftChars="0" w:hanging="420" w:firstLineChars="0"/>
        <w:rPr>
          <w:rFonts w:hint="default" w:ascii="Times New Roman Regular" w:hAnsi="Times New Roman Regular" w:cs="Times New Roman Regular"/>
        </w:rPr>
      </w:pPr>
      <w:r>
        <w:rPr>
          <w:rFonts w:hint="default" w:ascii="Times New Roman Regular" w:hAnsi="Times New Roman Regular" w:cs="Times New Roman Regular"/>
        </w:rPr>
        <w:t>Yun Guo, Run Qiu, and Xueyi Ni (Department of Rehabilitation Medicine): clinical data collection, lesion segmentation, and data curation.</w:t>
      </w:r>
    </w:p>
    <w:p w14:paraId="62918E2F">
      <w:pPr>
        <w:numPr>
          <w:ilvl w:val="0"/>
          <w:numId w:val="1"/>
        </w:numPr>
        <w:ind w:left="420" w:leftChars="0" w:hanging="420" w:firstLineChars="0"/>
        <w:rPr>
          <w:rFonts w:hint="default" w:ascii="Times New Roman Regular" w:hAnsi="Times New Roman Regular" w:cs="Times New Roman Regular"/>
        </w:rPr>
      </w:pPr>
      <w:r>
        <w:rPr>
          <w:rFonts w:hint="default" w:ascii="Times New Roman Regular" w:hAnsi="Times New Roman Regular" w:cs="Times New Roman Regular"/>
        </w:rPr>
        <w:t>Weibei Dou (Department of Electronic Engineering, Tsinghua University): project supervision, methodology refinement, and technical support for the brain–computer interface system.</w:t>
      </w:r>
    </w:p>
    <w:p w14:paraId="4E324B0E">
      <w:pPr>
        <w:numPr>
          <w:ilvl w:val="0"/>
          <w:numId w:val="1"/>
        </w:numPr>
        <w:ind w:left="420" w:leftChars="0" w:hanging="420" w:firstLineChars="0"/>
        <w:rPr>
          <w:rFonts w:hint="default" w:ascii="Times New Roman Regular" w:hAnsi="Times New Roman Regular" w:cs="Times New Roman Regular"/>
        </w:rPr>
      </w:pPr>
      <w:r>
        <w:rPr>
          <w:rFonts w:hint="default" w:ascii="Times New Roman Regular" w:hAnsi="Times New Roman Regular" w:cs="Times New Roman Regular"/>
        </w:rPr>
        <w:t xml:space="preserve">Research site: Department of Rehabilitation Medicine, Beijing Tsinghua Changgung Hospital, School of Clinical Medicine, Tsinghua University, Beijing 102218, China. Telephone: +86-10-56118899 </w:t>
      </w:r>
      <w:r>
        <w:rPr>
          <w:rFonts w:hint="default" w:ascii="Times New Roman Regular" w:hAnsi="Times New Roman Regular" w:cs="Times New Roman Regular"/>
          <w:lang w:val="en-US" w:eastAsia="zh-CN"/>
        </w:rPr>
        <w:t xml:space="preserve"> (</w:t>
      </w:r>
      <w:r>
        <w:rPr>
          <w:rFonts w:hint="default" w:ascii="Times New Roman Regular" w:hAnsi="Times New Roman Regular" w:cs="Times New Roman Regular"/>
        </w:rPr>
        <w:t>institutional switchboard</w:t>
      </w:r>
      <w:r>
        <w:rPr>
          <w:rFonts w:hint="default" w:ascii="Times New Roman Regular" w:hAnsi="Times New Roman Regular" w:cs="Times New Roman Regular"/>
          <w:lang w:val="en-US" w:eastAsia="zh-CN"/>
        </w:rPr>
        <w:t>)</w:t>
      </w:r>
      <w:r>
        <w:rPr>
          <w:rFonts w:hint="default" w:ascii="Times New Roman Regular" w:hAnsi="Times New Roman Regular" w:cs="Times New Roman Regular"/>
        </w:rPr>
        <w:t>.</w:t>
      </w:r>
    </w:p>
    <w:p w14:paraId="16B1F3DA">
      <w:pPr>
        <w:numPr>
          <w:ilvl w:val="0"/>
          <w:numId w:val="1"/>
        </w:numPr>
        <w:ind w:left="420" w:leftChars="0" w:hanging="420" w:firstLineChars="0"/>
        <w:rPr>
          <w:rFonts w:hint="default" w:ascii="Times New Roman Regular" w:hAnsi="Times New Roman Regular" w:cs="Times New Roman Regular"/>
        </w:rPr>
      </w:pPr>
      <w:r>
        <w:rPr>
          <w:rFonts w:hint="default" w:ascii="Times New Roman Regular" w:hAnsi="Times New Roman Regular" w:cs="Times New Roman Regular"/>
        </w:rPr>
        <w:t>Clinical screening, intervention delivery, and outcome assessment were performed at the Department of Rehabilitation Medicine, Beijing Tsinghua Changgung Hospital, School of Clinical Medicine, Tsinghua University, Beijing 102218, China. Neuroimaging diagnosis (cranial CT/MRI) was provided by the Department of Radiology of the same hospital.</w:t>
      </w:r>
    </w:p>
    <w:p w14:paraId="02E788C6">
      <w:pPr>
        <w:numPr>
          <w:ilvl w:val="0"/>
          <w:numId w:val="1"/>
        </w:numPr>
        <w:ind w:left="420" w:leftChars="0" w:hanging="420" w:firstLineChars="0"/>
        <w:rPr>
          <w:rFonts w:hint="default" w:ascii="Times New Roman Regular" w:hAnsi="Times New Roman Regular" w:cs="Times New Roman Regular"/>
        </w:rPr>
      </w:pPr>
      <w:r>
        <w:rPr>
          <w:rFonts w:hint="default" w:ascii="Times New Roman Regular" w:hAnsi="Times New Roman Regular" w:cs="Times New Roman Regular"/>
        </w:rPr>
        <w:t>Electroencephalography (EEG) signal processing and quantitative EEG analysis were supported by the Department of Electronic Engineering, Tsinghua University, Beijing 100084, China. The active brain–computer interface (BCI) and pneumatic hand rehabilitation system was developed under the National Key Research and Development Program of China (Project No. 2022YFC3601100).</w:t>
      </w:r>
    </w:p>
    <w:p w14:paraId="744AA1A5">
      <w:pPr>
        <w:rPr>
          <w:rFonts w:hint="default" w:ascii="Times New Roman Regular" w:hAnsi="Times New Roman Regular" w:cs="Times New Roman Regular"/>
          <w:b/>
          <w:bCs/>
        </w:rPr>
      </w:pPr>
    </w:p>
    <w:p w14:paraId="689018F9">
      <w:pPr>
        <w:rPr>
          <w:rFonts w:hint="default" w:ascii="Times New Roman Regular" w:hAnsi="Times New Roman Regular" w:cs="Times New Roman Regular"/>
          <w:b/>
          <w:bCs/>
        </w:rPr>
      </w:pPr>
      <w:r>
        <w:rPr>
          <w:rFonts w:hint="default" w:ascii="Times New Roman Regular" w:hAnsi="Times New Roman Regular" w:cs="Times New Roman Regular"/>
          <w:b/>
          <w:bCs/>
        </w:rPr>
        <w:t>Rationale &amp; background information</w:t>
      </w:r>
    </w:p>
    <w:p w14:paraId="528B0279">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Stroke is one of the leading causes of long-term disability in adults worldwide, with up to 85% of survivors experiencing persistent upper limb motor dysfunction beyond the acute phase</w:t>
      </w:r>
      <w:r>
        <w:rPr>
          <w:rFonts w:hint="default" w:ascii="Times New Roman Regular" w:hAnsi="Times New Roman Regular" w:cs="Times New Roman Regular"/>
        </w:rPr>
        <w:fldChar w:fldCharType="begin">
          <w:fldData xml:space="preserve">PEVuZE5vdGU+PENpdGU+PEF1dGhvcj5MYW5nPC9BdXRob3I+PFllYXI+MjAxMzwvWWVhcj48UmVj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</w:fldData>
        </w:fldChar>
      </w:r>
      <w:r>
        <w:rPr>
          <w:rFonts w:hint="default" w:ascii="Times New Roman Regular" w:hAnsi="Times New Roman Regular" w:cs="Times New Roman Regular"/>
        </w:rPr>
        <w:instrText xml:space="preserve"> ADDIN EN.CITE </w:instrText>
      </w:r>
      <w:r>
        <w:rPr>
          <w:rFonts w:hint="default" w:ascii="Times New Roman Regular" w:hAnsi="Times New Roman Regular" w:cs="Times New Roman Regular"/>
        </w:rPr>
        <w:fldChar w:fldCharType="begin">
          <w:fldData xml:space="preserve">PEVuZE5vdGU+PENpdGU+PEF1dGhvcj5MYW5nPC9BdXRob3I+PFllYXI+MjAxMzwvWWVhcj48UmVj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</w:fldData>
        </w:fldChar>
      </w:r>
      <w:r>
        <w:rPr>
          <w:rFonts w:hint="default" w:ascii="Times New Roman Regular" w:hAnsi="Times New Roman Regular" w:cs="Times New Roman Regular"/>
        </w:rPr>
        <w:instrText xml:space="preserve"> ADDIN EN.CITE.DATA </w:instrText>
      </w:r>
      <w:r>
        <w:rPr>
          <w:rFonts w:hint="default" w:ascii="Times New Roman Regular" w:hAnsi="Times New Roman Regular" w:cs="Times New Roman Regular"/>
        </w:rPr>
        <w:fldChar w:fldCharType="end"/>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(1)</w:t>
      </w:r>
      <w:r>
        <w:rPr>
          <w:rFonts w:hint="default" w:ascii="Times New Roman Regular" w:hAnsi="Times New Roman Regular" w:cs="Times New Roman Regular"/>
        </w:rPr>
        <w:fldChar w:fldCharType="end"/>
      </w:r>
      <w:r>
        <w:rPr>
          <w:rFonts w:hint="default" w:ascii="Times New Roman Regular" w:hAnsi="Times New Roman Regular" w:cs="Times New Roman Regular"/>
        </w:rPr>
        <w:t>. Given the critical role of the upper limb in activities of daily living (ADL) and occupational tasks, such long-term impairment substantially reduces patients’ independence and quality of life</w:t>
      </w:r>
      <w:r>
        <w:rPr>
          <w:rFonts w:hint="default" w:ascii="Times New Roman Regular" w:hAnsi="Times New Roman Regular" w:cs="Times New Roman Regular"/>
        </w:rPr>
        <w:fldChar w:fldCharType="begin">
          <w:fldData xml:space="preserve">PEVuZE5vdGU+PENpdGU+PEF1dGhvcj5Cb2FyZHN3b3J0aDwvQXV0aG9yPjxZZWFyPjIwMjU8L1ll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</w:fldData>
        </w:fldChar>
      </w:r>
      <w:r>
        <w:rPr>
          <w:rFonts w:hint="default" w:ascii="Times New Roman Regular" w:hAnsi="Times New Roman Regular" w:cs="Times New Roman Regular"/>
        </w:rPr>
        <w:instrText xml:space="preserve"> ADDIN EN.CITE </w:instrText>
      </w:r>
      <w:r>
        <w:rPr>
          <w:rFonts w:hint="default" w:ascii="Times New Roman Regular" w:hAnsi="Times New Roman Regular" w:cs="Times New Roman Regular"/>
        </w:rPr>
        <w:fldChar w:fldCharType="begin">
          <w:fldData xml:space="preserve">PEVuZE5vdGU+PENpdGU+PEF1dGhvcj5Cb2FyZHN3b3J0aDwvQXV0aG9yPjxZZWFyPjIwMjU8L1ll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</w:fldData>
        </w:fldChar>
      </w:r>
      <w:r>
        <w:rPr>
          <w:rFonts w:hint="default" w:ascii="Times New Roman Regular" w:hAnsi="Times New Roman Regular" w:cs="Times New Roman Regular"/>
        </w:rPr>
        <w:instrText xml:space="preserve"> ADDIN EN.CITE.DATA </w:instrText>
      </w:r>
      <w:r>
        <w:rPr>
          <w:rFonts w:hint="default" w:ascii="Times New Roman Regular" w:hAnsi="Times New Roman Regular" w:cs="Times New Roman Regular"/>
        </w:rPr>
        <w:fldChar w:fldCharType="end"/>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(2, 3)</w:t>
      </w:r>
      <w:r>
        <w:rPr>
          <w:rFonts w:hint="default" w:ascii="Times New Roman Regular" w:hAnsi="Times New Roman Regular" w:cs="Times New Roman Regular"/>
        </w:rPr>
        <w:fldChar w:fldCharType="end"/>
      </w:r>
      <w:r>
        <w:rPr>
          <w:rFonts w:hint="default" w:ascii="Times New Roman Regular" w:hAnsi="Times New Roman Regular" w:cs="Times New Roman Regular"/>
        </w:rPr>
        <w:t>.</w:t>
      </w:r>
      <w:bookmarkStart w:id="0" w:name="OLE_LINK2"/>
      <w:r>
        <w:rPr>
          <w:rFonts w:hint="default" w:ascii="Times New Roman Regular" w:hAnsi="Times New Roman Regular" w:cs="Times New Roman Regular"/>
        </w:rPr>
        <w:t>Previous studies have demonstrated that timely and effective rehabilitation interventions can partially promote functional recovery and improve activity and participation levels, thereby representing a key strategy for reducing the burden of stroke. In particular, recovery of upper limb function is essential for regaining independence in daily life</w:t>
      </w:r>
      <w:r>
        <w:rPr>
          <w:rFonts w:hint="default" w:ascii="Times New Roman Regular" w:hAnsi="Times New Roman Regular" w:cs="Times New Roman Regular"/>
        </w:rPr>
        <w:fldChar w:fldCharType="begin"/>
      </w:r>
      <w:r>
        <w:rPr>
          <w:rFonts w:hint="default" w:ascii="Times New Roman Regular" w:hAnsi="Times New Roman Regular" w:cs="Times New Roman Regular"/>
        </w:rPr>
        <w:instrText xml:space="preserve"> ADDIN EN.CITE &lt;EndNote&gt;&lt;Cite&gt;&lt;Author&gt;Pollock&lt;/Author&gt;&lt;Year&gt;2013&lt;/Year&gt;&lt;RecNum&gt;35&lt;/RecNum&gt;&lt;DisplayText&gt;(4)&lt;/DisplayText&gt;&lt;record&gt;&lt;rec-number&gt;35&lt;/rec-number&gt;&lt;foreign-keys&gt;&lt;key app="EN" db-id="2taraavt7ev5xoeefrnpxeeaz9dw0sfzzdat" timestamp="1776933598"&gt;35&lt;/key&gt;&lt;/foreign-keys&gt;&lt;ref-type name="Journal Article"&gt;17&lt;/ref-type&gt;&lt;contributors&gt;&lt;authors&gt;&lt;author&gt;Pollock, A.&lt;/author&gt;&lt;author&gt;Farmer, S. E.&lt;/author&gt;&lt;author&gt;Brady, M. C.&lt;/author&gt;&lt;author&gt;Langhorne, P.&lt;/author&gt;&lt;author&gt;Wijck, F. Van&lt;/author&gt;&lt;/authors&gt;&lt;/contributors&gt;&lt;titles&gt;&lt;title&gt;Interventions for improving upper limb function after stroke&lt;/title&gt;&lt;secondary-title&gt;Cochrane database of systematic reviews (Online)&lt;/secondary-title&gt;&lt;/titles&gt;&lt;periodical&gt;&lt;full-title&gt;Cochrane database of systematic reviews (Online)&lt;/full-title&gt;&lt;/periodical&gt;&lt;volume&gt;2013&lt;/volume&gt;&lt;number&gt;11&lt;/number&gt;&lt;dates&gt;&lt;year&gt;2013&lt;/year&gt;&lt;/dates&gt;&lt;urls&gt;&lt;/urls&gt;&lt;/record&gt;&lt;/Cite&gt;&lt;/EndNote&gt;</w:instrText>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(4)</w:t>
      </w:r>
      <w:r>
        <w:rPr>
          <w:rFonts w:hint="default" w:ascii="Times New Roman Regular" w:hAnsi="Times New Roman Regular" w:cs="Times New Roman Regular"/>
        </w:rPr>
        <w:fldChar w:fldCharType="end"/>
      </w:r>
      <w:r>
        <w:rPr>
          <w:rFonts w:hint="default" w:ascii="Times New Roman Regular" w:hAnsi="Times New Roman Regular" w:cs="Times New Roman Regular"/>
        </w:rPr>
        <w:t>.</w:t>
      </w:r>
      <w:bookmarkEnd w:id="0"/>
    </w:p>
    <w:p w14:paraId="39EAC622">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Conventional neurorehabilitation strategies largely follow a “periphery-to-central” paradigm, in which peripheral sensory inputs—such as passive physical therapy, functional electrical stimulation (FES), and repetitive task training—are used to facilitate compensatory cortical reorganization. However, for patients with severe motor impairment who are unable to voluntarily initiate motor commands, this approach is often limited by insufficient active engagement, incomplete feedback loops, and plateau effects in rehabilitation outcomes. Clinical evidence suggests that despite receiving multimodal conventional rehabilitation, approximately 40% of patients still exhibit varying degrees of upper limb dysfunction six months after stroke onset</w:t>
      </w:r>
      <w:r>
        <w:rPr>
          <w:rFonts w:hint="default" w:ascii="Times New Roman Regular" w:hAnsi="Times New Roman Regular" w:cs="Times New Roman Regular"/>
        </w:rPr>
        <w:fldChar w:fldCharType="begin"/>
      </w:r>
      <w:r>
        <w:rPr>
          <w:rFonts w:hint="default" w:ascii="Times New Roman Regular" w:hAnsi="Times New Roman Regular" w:cs="Times New Roman Regular"/>
        </w:rPr>
        <w:instrText xml:space="preserve"> ADDIN EN.CITE &lt;EndNote&gt;&lt;Cite&gt;&lt;Author&gt;O’Flaherty&lt;/Author&gt;&lt;Year&gt;2024&lt;/Year&gt;&lt;RecNum&gt;36&lt;/RecNum&gt;&lt;DisplayText&gt;(5)&lt;/DisplayText&gt;&lt;record&gt;&lt;rec-number&gt;36&lt;/rec-number&gt;&lt;foreign-keys&gt;&lt;key app="EN" db-id="2taraavt7ev5xoeefrnpxeeaz9dw0sfzzdat" timestamp="1777088882"&gt;36&lt;/key&gt;&lt;/foreign-keys&gt;&lt;ref-type name="Journal Article"&gt;17&lt;/ref-type&gt;&lt;contributors&gt;&lt;authors&gt;&lt;author&gt;O’Flaherty, Daniel&lt;/author&gt;&lt;author&gt;Ali, Khalid&lt;/author&gt;&lt;/authors&gt;&lt;/contributors&gt;&lt;titles&gt;&lt;title&gt;Recommendations for Upper Limb Motor Recovery: An Overview of the UK and European Rehabilitation after Stroke Guidelines (2023)&lt;/title&gt;&lt;secondary-title&gt;Healthcare&lt;/secondary-title&gt;&lt;/titles&gt;&lt;periodical&gt;&lt;full-title&gt;Healthcare&lt;/full-title&gt;&lt;/periodical&gt;&lt;pages&gt;1433&lt;/pages&gt;&lt;volume&gt;12&lt;/volume&gt;&lt;number&gt;14&lt;/number&gt;&lt;dates&gt;&lt;year&gt;2024&lt;/year&gt;&lt;/dates&gt;&lt;isbn&gt;2227-9032&lt;/isbn&gt;&lt;accession-num&gt;doi:10.3390/healthcare12141433&lt;/accession-num&gt;&lt;urls&gt;&lt;related-urls&gt;&lt;url&gt;https://www.mdpi.com/2227-9032/12/14/1433&lt;/url&gt;&lt;/related-urls&gt;&lt;/urls&gt;&lt;/record&gt;&lt;/Cite&gt;&lt;/EndNote&gt;</w:instrText>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(5)</w:t>
      </w:r>
      <w:r>
        <w:rPr>
          <w:rFonts w:hint="default" w:ascii="Times New Roman Regular" w:hAnsi="Times New Roman Regular" w:cs="Times New Roman Regular"/>
        </w:rPr>
        <w:fldChar w:fldCharType="end"/>
      </w:r>
      <w:r>
        <w:rPr>
          <w:rFonts w:hint="default" w:ascii="Times New Roman Regular" w:hAnsi="Times New Roman Regular" w:cs="Times New Roman Regular"/>
        </w:rPr>
        <w:t>.</w:t>
      </w:r>
      <w:r>
        <w:rPr>
          <w:rFonts w:hint="default" w:ascii="Times New Roman Regular" w:hAnsi="Times New Roman Regular" w:cs="Times New Roman Regular"/>
          <w:lang w:val="en-US" w:eastAsia="zh-CN"/>
        </w:rPr>
        <w:t xml:space="preserve"> </w:t>
      </w:r>
      <w:r>
        <w:rPr>
          <w:rFonts w:hint="default" w:ascii="Times New Roman Regular" w:hAnsi="Times New Roman Regular" w:cs="Times New Roman Regular"/>
        </w:rPr>
        <w:t>Therefore, exploring more effective intervention strategies to overcome the limitations of traditional rehabilitation has become a critical research focus in stroke rehabilitation.</w:t>
      </w:r>
    </w:p>
    <w:p w14:paraId="7EBFC896">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In recent years, advances in neuroengineering and intelligent rehabilitation technologies have led to the increasing application of brain–computer interface (BCI) systems in stroke rehabilitation. BCI provides a novel “central-to-peripheral” rehabilitation paradigm by decoding cortical activity associated with motor intention, such as motor imagery (MI), and translating these signals into control commands for external devices, thereby enabling real-time sensorimotor feedback</w:t>
      </w:r>
      <w:r>
        <w:rPr>
          <w:rFonts w:hint="default" w:ascii="Times New Roman Regular" w:hAnsi="Times New Roman Regular" w:cs="Times New Roman Regular"/>
        </w:rPr>
        <w:fldChar w:fldCharType="begin">
          <w:fldData xml:space="preserve">PEVuZE5vdGU+PENpdGU+PEF1dGhvcj5DZXJ2ZXJhPC9BdXRob3I+PFllYXI+MjAxODwvWWVhcj48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</w:fldData>
        </w:fldChar>
      </w:r>
      <w:r>
        <w:rPr>
          <w:rFonts w:hint="default" w:ascii="Times New Roman Regular" w:hAnsi="Times New Roman Regular" w:cs="Times New Roman Regular"/>
        </w:rPr>
        <w:instrText xml:space="preserve"> ADDIN EN.CITE </w:instrText>
      </w:r>
      <w:r>
        <w:rPr>
          <w:rFonts w:hint="default" w:ascii="Times New Roman Regular" w:hAnsi="Times New Roman Regular" w:cs="Times New Roman Regular"/>
        </w:rPr>
        <w:fldChar w:fldCharType="begin">
          <w:fldData xml:space="preserve">PEVuZE5vdGU+PENpdGU+PEF1dGhvcj5DZXJ2ZXJhPC9BdXRob3I+PFllYXI+MjAxODwvWWVhcj48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</w:fldData>
        </w:fldChar>
      </w:r>
      <w:r>
        <w:rPr>
          <w:rFonts w:hint="default" w:ascii="Times New Roman Regular" w:hAnsi="Times New Roman Regular" w:cs="Times New Roman Regular"/>
        </w:rPr>
        <w:instrText xml:space="preserve"> ADDIN EN.CITE.DATA </w:instrText>
      </w:r>
      <w:r>
        <w:rPr>
          <w:rFonts w:hint="default" w:ascii="Times New Roman Regular" w:hAnsi="Times New Roman Regular" w:cs="Times New Roman Regular"/>
        </w:rPr>
        <w:fldChar w:fldCharType="end"/>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(6)</w:t>
      </w:r>
      <w:r>
        <w:rPr>
          <w:rFonts w:hint="default" w:ascii="Times New Roman Regular" w:hAnsi="Times New Roman Regular" w:cs="Times New Roman Regular"/>
        </w:rPr>
        <w:fldChar w:fldCharType="end"/>
      </w:r>
      <w:r>
        <w:rPr>
          <w:rFonts w:hint="default" w:ascii="Times New Roman Regular" w:hAnsi="Times New Roman Regular" w:cs="Times New Roman Regular"/>
        </w:rPr>
        <w:t>.Previous studies have indicated that BCI training may improve upper limb motor function and promote neuroplasticity in patients with stroke</w:t>
      </w:r>
      <w:r>
        <w:rPr>
          <w:rFonts w:hint="default" w:ascii="Times New Roman Regular" w:hAnsi="Times New Roman Regular" w:cs="Times New Roman Regular"/>
        </w:rPr>
        <w:fldChar w:fldCharType="begin">
          <w:fldData xml:space="preserve">PEVuZE5vdGU+PENpdGU+PEF1dGhvcj5SYW1vcy1NdXJndWlhbGRheTwvQXV0aG9yPjxZZWFyPjIw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</w:fldData>
        </w:fldChar>
      </w:r>
      <w:r>
        <w:rPr>
          <w:rFonts w:hint="default" w:ascii="Times New Roman Regular" w:hAnsi="Times New Roman Regular" w:cs="Times New Roman Regular"/>
        </w:rPr>
        <w:instrText xml:space="preserve"> ADDIN EN.CITE </w:instrText>
      </w:r>
      <w:r>
        <w:rPr>
          <w:rFonts w:hint="default" w:ascii="Times New Roman Regular" w:hAnsi="Times New Roman Regular" w:cs="Times New Roman Regular"/>
        </w:rPr>
        <w:fldChar w:fldCharType="begin">
          <w:fldData xml:space="preserve">PEVuZE5vdGU+PENpdGU+PEF1dGhvcj5SYW1vcy1NdXJndWlhbGRheTwvQXV0aG9yPjxZZWFyPjIw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</w:fldData>
        </w:fldChar>
      </w:r>
      <w:r>
        <w:rPr>
          <w:rFonts w:hint="default" w:ascii="Times New Roman Regular" w:hAnsi="Times New Roman Regular" w:cs="Times New Roman Regular"/>
        </w:rPr>
        <w:instrText xml:space="preserve"> ADDIN EN.CITE.DATA </w:instrText>
      </w:r>
      <w:r>
        <w:rPr>
          <w:rFonts w:hint="default" w:ascii="Times New Roman Regular" w:hAnsi="Times New Roman Regular" w:cs="Times New Roman Regular"/>
        </w:rPr>
        <w:fldChar w:fldCharType="end"/>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(6-8)</w:t>
      </w:r>
      <w:r>
        <w:rPr>
          <w:rFonts w:hint="default" w:ascii="Times New Roman Regular" w:hAnsi="Times New Roman Regular" w:cs="Times New Roman Regular"/>
        </w:rPr>
        <w:fldChar w:fldCharType="end"/>
      </w:r>
      <w:r>
        <w:rPr>
          <w:rFonts w:hint="default" w:ascii="Times New Roman Regular" w:hAnsi="Times New Roman Regular" w:cs="Times New Roman Regular"/>
        </w:rPr>
        <w:t>.However, current evidence regarding its clinical efficacy remains inconclusive. Recent systematic reviews and meta-analyses suggest that the overall effect of BCI interventions on upper limb recovery is modest. Moreover, substantial heterogeneity exists across studies in terms of intervention protocols, training parameters, patient stages, and baseline functional levels. In particular, the effectiveness of BCI in the subacute phase remains unclear, contributing to inconsistencies and potential bias in existing findings</w:t>
      </w:r>
      <w:r>
        <w:rPr>
          <w:rFonts w:hint="default" w:ascii="Times New Roman Regular" w:hAnsi="Times New Roman Regular" w:cs="Times New Roman Regular"/>
        </w:rPr>
        <w:fldChar w:fldCharType="begin">
          <w:fldData xml:space="preserve">PEVuZE5vdGU+PENpdGU+PEF1dGhvcj5DZXJ2ZXJhPC9BdXRob3I+PFllYXI+MjAxODwvWWVhcj48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</w:fldData>
        </w:fldChar>
      </w:r>
      <w:r>
        <w:rPr>
          <w:rFonts w:hint="default" w:ascii="Times New Roman Regular" w:hAnsi="Times New Roman Regular" w:cs="Times New Roman Regular"/>
        </w:rPr>
        <w:instrText xml:space="preserve"> ADDIN EN.CITE </w:instrText>
      </w:r>
      <w:r>
        <w:rPr>
          <w:rFonts w:hint="default" w:ascii="Times New Roman Regular" w:hAnsi="Times New Roman Regular" w:cs="Times New Roman Regular"/>
        </w:rPr>
        <w:fldChar w:fldCharType="begin">
          <w:fldData xml:space="preserve">PEVuZE5vdGU+PENpdGU+PEF1dGhvcj5DZXJ2ZXJhPC9BdXRob3I+PFllYXI+MjAxODwvWWVhcj48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</w:fldData>
        </w:fldChar>
      </w:r>
      <w:r>
        <w:rPr>
          <w:rFonts w:hint="default" w:ascii="Times New Roman Regular" w:hAnsi="Times New Roman Regular" w:cs="Times New Roman Regular"/>
        </w:rPr>
        <w:instrText xml:space="preserve"> ADDIN EN.CITE.DATA </w:instrText>
      </w:r>
      <w:r>
        <w:rPr>
          <w:rFonts w:hint="default" w:ascii="Times New Roman Regular" w:hAnsi="Times New Roman Regular" w:cs="Times New Roman Regular"/>
        </w:rPr>
        <w:fldChar w:fldCharType="end"/>
      </w:r>
      <w:r>
        <w:rPr>
          <w:rFonts w:hint="default" w:ascii="Times New Roman Regular" w:hAnsi="Times New Roman Regular" w:cs="Times New Roman Regular"/>
        </w:rPr>
        <w:fldChar w:fldCharType="separate"/>
      </w:r>
      <w:r>
        <w:rPr>
          <w:rFonts w:hint="default" w:ascii="Times New Roman Regular" w:hAnsi="Times New Roman Regular" w:cs="Times New Roman Regular"/>
        </w:rPr>
        <w:t>(6)</w:t>
      </w:r>
      <w:r>
        <w:rPr>
          <w:rFonts w:hint="default" w:ascii="Times New Roman Regular" w:hAnsi="Times New Roman Regular" w:cs="Times New Roman Regular"/>
        </w:rPr>
        <w:fldChar w:fldCharType="end"/>
      </w:r>
      <w:r>
        <w:rPr>
          <w:rFonts w:hint="default" w:ascii="Times New Roman Regular" w:hAnsi="Times New Roman Regular" w:cs="Times New Roman Regular"/>
        </w:rPr>
        <w:t>.</w:t>
      </w:r>
    </w:p>
    <w:p w14:paraId="58306BC8">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To address these gaps, the present study conducted a prospective randomized controlled trial (RCT) involving 129 patients with subacute stroke. Using a multidimensional assessment framework that incorporates both conventional clinical scales and minimal clinically important difference (MCID), this study aimed to systematically evaluate the clinical efficacy of BCI-assisted pneumatic hand training for upper limb rehabilitation. In addition, by integrating clinical outcomes with electrophysiological measures, we sought to characterize the dynamic changes in EEG rhythms associated with the intervention and to explore the potential neurophysiological mechanisms underlying functional recovery. In addition to efficacy, treatment safety was assessed for participant protection; safety was not defined as a pre-specified study objective and no formal safety endpoint was analysed.</w:t>
      </w:r>
    </w:p>
    <w:p w14:paraId="6271BB1D">
      <w:pPr>
        <w:rPr>
          <w:rFonts w:hint="default" w:ascii="Times New Roman Regular" w:hAnsi="Times New Roman Regular" w:cs="Times New Roman Regular"/>
          <w:b/>
          <w:bCs/>
        </w:rPr>
      </w:pPr>
    </w:p>
    <w:p w14:paraId="05AFC9EA">
      <w:pPr>
        <w:rPr>
          <w:rFonts w:hint="default" w:ascii="Times New Roman Regular" w:hAnsi="Times New Roman Regular" w:cs="Times New Roman Regular"/>
          <w:b/>
          <w:bCs/>
        </w:rPr>
      </w:pPr>
      <w:r>
        <w:rPr>
          <w:rFonts w:hint="default" w:ascii="Times New Roman Regular" w:hAnsi="Times New Roman Regular" w:cs="Times New Roman Regular"/>
          <w:b/>
          <w:bCs/>
        </w:rPr>
        <w:t>References (of literature cited in preceding sections)</w:t>
      </w:r>
    </w:p>
    <w:p w14:paraId="7BCEB546">
      <w:pPr>
        <w:rPr>
          <w:rFonts w:hint="default" w:ascii="Times New Roman Regular" w:hAnsi="Times New Roman Regular" w:cs="Times New Roman Regular"/>
        </w:rPr>
      </w:pPr>
      <w:r>
        <w:rPr>
          <w:rFonts w:hint="default" w:ascii="Times New Roman Regular" w:hAnsi="Times New Roman Regular" w:cs="Times New Roman Regular"/>
        </w:rPr>
        <w:t>1.</w:t>
      </w:r>
      <w:r>
        <w:rPr>
          <w:rFonts w:hint="default" w:ascii="Times New Roman Regular" w:hAnsi="Times New Roman Regular" w:cs="Times New Roman Regular"/>
        </w:rPr>
        <w:tab/>
      </w:r>
      <w:r>
        <w:rPr>
          <w:rFonts w:hint="default" w:ascii="Times New Roman Regular" w:hAnsi="Times New Roman Regular" w:cs="Times New Roman Regular"/>
        </w:rPr>
        <w:t>Lang CE, Bland MD, Bailey RR, Schaefer SY, Birkenmeier RL. Assessment of upper extremity impairment, function, and activity after stroke: foundations for clinical decision making. J Hand Ther. 2013;26(2):104-14;quiz 15.</w:t>
      </w:r>
    </w:p>
    <w:p w14:paraId="440D43E1">
      <w:pPr>
        <w:rPr>
          <w:rFonts w:hint="default" w:ascii="Times New Roman Regular" w:hAnsi="Times New Roman Regular" w:cs="Times New Roman Regular"/>
        </w:rPr>
      </w:pPr>
      <w:r>
        <w:rPr>
          <w:rFonts w:hint="default" w:ascii="Times New Roman Regular" w:hAnsi="Times New Roman Regular" w:cs="Times New Roman Regular"/>
        </w:rPr>
        <w:t>2.</w:t>
      </w:r>
      <w:r>
        <w:rPr>
          <w:rFonts w:hint="default" w:ascii="Times New Roman Regular" w:hAnsi="Times New Roman Regular" w:cs="Times New Roman Regular"/>
        </w:rPr>
        <w:tab/>
      </w:r>
      <w:r>
        <w:rPr>
          <w:rFonts w:hint="default" w:ascii="Times New Roman Regular" w:hAnsi="Times New Roman Regular" w:cs="Times New Roman Regular"/>
        </w:rPr>
        <w:t>Boardsworth K, Rashid U, Olsen S, Rodriguez-Ramirez E, Browne W, Alder G, et al. Upper limb robotic rehabilitation following stroke: a systematic review and meta-analysis investigating efficacy and the influence of device features and program parameters. J Neuroeng Rehabil. 2025;22(1):164.</w:t>
      </w:r>
    </w:p>
    <w:p w14:paraId="4BF1D58C">
      <w:pPr>
        <w:rPr>
          <w:rFonts w:hint="default" w:ascii="Times New Roman Regular" w:hAnsi="Times New Roman Regular" w:cs="Times New Roman Regular"/>
        </w:rPr>
      </w:pPr>
      <w:r>
        <w:rPr>
          <w:rFonts w:hint="default" w:ascii="Times New Roman Regular" w:hAnsi="Times New Roman Regular" w:cs="Times New Roman Regular"/>
        </w:rPr>
        <w:t>3.</w:t>
      </w:r>
      <w:r>
        <w:rPr>
          <w:rFonts w:hint="default" w:ascii="Times New Roman Regular" w:hAnsi="Times New Roman Regular" w:cs="Times New Roman Regular"/>
        </w:rPr>
        <w:tab/>
      </w:r>
      <w:r>
        <w:rPr>
          <w:rFonts w:hint="default" w:ascii="Times New Roman Regular" w:hAnsi="Times New Roman Regular" w:cs="Times New Roman Regular"/>
        </w:rPr>
        <w:t>Z C, J Y, Y F, S L. Reflections on the assessment and sustainability of quality-of-Life improvements following intensive upper limb stroke rehabilitation. 2025. 1682-3 p.</w:t>
      </w:r>
    </w:p>
    <w:p w14:paraId="179A284A">
      <w:pPr>
        <w:rPr>
          <w:rFonts w:hint="default" w:ascii="Times New Roman Regular" w:hAnsi="Times New Roman Regular" w:cs="Times New Roman Regular"/>
        </w:rPr>
      </w:pPr>
      <w:r>
        <w:rPr>
          <w:rFonts w:hint="default" w:ascii="Times New Roman Regular" w:hAnsi="Times New Roman Regular" w:cs="Times New Roman Regular"/>
        </w:rPr>
        <w:t>4.</w:t>
      </w:r>
      <w:r>
        <w:rPr>
          <w:rFonts w:hint="default" w:ascii="Times New Roman Regular" w:hAnsi="Times New Roman Regular" w:cs="Times New Roman Regular"/>
        </w:rPr>
        <w:tab/>
      </w:r>
      <w:r>
        <w:rPr>
          <w:rFonts w:hint="default" w:ascii="Times New Roman Regular" w:hAnsi="Times New Roman Regular" w:cs="Times New Roman Regular"/>
        </w:rPr>
        <w:t>Pollock A, Farmer SE, Brady MC, Langhorne P, Wijck FV. Interventions for improving upper limb function after stroke. Cochrane database of systematic reviews (Online). 2013;2013(11).</w:t>
      </w:r>
    </w:p>
    <w:p w14:paraId="10085CDA">
      <w:pPr>
        <w:rPr>
          <w:rFonts w:hint="default" w:ascii="Times New Roman Regular" w:hAnsi="Times New Roman Regular" w:cs="Times New Roman Regular"/>
        </w:rPr>
      </w:pPr>
      <w:r>
        <w:rPr>
          <w:rFonts w:hint="default" w:ascii="Times New Roman Regular" w:hAnsi="Times New Roman Regular" w:cs="Times New Roman Regular"/>
        </w:rPr>
        <w:t>5.</w:t>
      </w:r>
      <w:r>
        <w:rPr>
          <w:rFonts w:hint="default" w:ascii="Times New Roman Regular" w:hAnsi="Times New Roman Regular" w:cs="Times New Roman Regular"/>
        </w:rPr>
        <w:tab/>
      </w:r>
      <w:r>
        <w:rPr>
          <w:rFonts w:hint="default" w:ascii="Times New Roman Regular" w:hAnsi="Times New Roman Regular" w:cs="Times New Roman Regular"/>
        </w:rPr>
        <w:t>O’Flaherty D, Ali K. Recommendations for Upper Limb Motor Recovery: An Overview of the UK and European Rehabilitation after Stroke Guidelines (2023). Healthcare. 2024;12(14):1433.</w:t>
      </w:r>
    </w:p>
    <w:p w14:paraId="2BDED2FD">
      <w:pPr>
        <w:rPr>
          <w:rFonts w:hint="default" w:ascii="Times New Roman Regular" w:hAnsi="Times New Roman Regular" w:cs="Times New Roman Regular"/>
        </w:rPr>
      </w:pPr>
      <w:r>
        <w:rPr>
          <w:rFonts w:hint="default" w:ascii="Times New Roman Regular" w:hAnsi="Times New Roman Regular" w:cs="Times New Roman Regular"/>
        </w:rPr>
        <w:t>6.</w:t>
      </w:r>
      <w:r>
        <w:rPr>
          <w:rFonts w:hint="default" w:ascii="Times New Roman Regular" w:hAnsi="Times New Roman Regular" w:cs="Times New Roman Regular"/>
        </w:rPr>
        <w:tab/>
      </w:r>
      <w:r>
        <w:rPr>
          <w:rFonts w:hint="default" w:ascii="Times New Roman Regular" w:hAnsi="Times New Roman Regular" w:cs="Times New Roman Regular"/>
        </w:rPr>
        <w:t>Cervera MA, Soekadar SR, Ushiba J, Millán JDR, Liu M, Birbaumer N, et al. Brain-computer interfaces for post-stroke motor rehabilitation: a meta-analysis. Ann Clin Transl Neurol. 2018;5(5):651-63.</w:t>
      </w:r>
    </w:p>
    <w:p w14:paraId="791C95AC">
      <w:pPr>
        <w:rPr>
          <w:rFonts w:hint="default" w:ascii="Times New Roman Regular" w:hAnsi="Times New Roman Regular" w:cs="Times New Roman Regular"/>
          <w:b/>
          <w:bCs/>
        </w:rPr>
      </w:pPr>
    </w:p>
    <w:p w14:paraId="2296C97B">
      <w:pPr>
        <w:rPr>
          <w:rFonts w:hint="default" w:ascii="Times New Roman Regular" w:hAnsi="Times New Roman Regular" w:cs="Times New Roman Regular"/>
          <w:b/>
          <w:bCs/>
        </w:rPr>
      </w:pPr>
      <w:r>
        <w:rPr>
          <w:rFonts w:hint="default" w:ascii="Times New Roman Regular" w:hAnsi="Times New Roman Regular" w:cs="Times New Roman Regular"/>
          <w:b/>
          <w:bCs/>
        </w:rPr>
        <w:t>Study goals and objectives</w:t>
      </w:r>
    </w:p>
    <w:p w14:paraId="0F15CF30">
      <w:pPr>
        <w:rPr>
          <w:rFonts w:hint="default" w:ascii="Times New Roman Regular" w:hAnsi="Times New Roman Regular" w:cs="Times New Roman Regular"/>
        </w:rPr>
      </w:pPr>
      <w:r>
        <w:rPr>
          <w:rFonts w:hint="default" w:ascii="Times New Roman Regular" w:hAnsi="Times New Roman Regular" w:cs="Times New Roman Regular"/>
        </w:rPr>
        <w:t>Goal: To determine whether brain–computer interface (BCI)–assisted pneumatic hand training, added to conventional occupational therapy, improves upper limb motor recovery in patients with subacute stroke, and to characterize the electrophysiological changes associated with the intervention.</w:t>
      </w:r>
    </w:p>
    <w:p w14:paraId="5F7FE806">
      <w:pPr>
        <w:rPr>
          <w:rFonts w:hint="default" w:ascii="Times New Roman Regular" w:hAnsi="Times New Roman Regular" w:cs="Times New Roman Regular"/>
        </w:rPr>
      </w:pPr>
      <w:r>
        <w:rPr>
          <w:rFonts w:hint="default" w:ascii="Times New Roman Regular" w:hAnsi="Times New Roman Regular" w:cs="Times New Roman Regular"/>
          <w:b/>
        </w:rPr>
        <w:t>Primary objective:</w:t>
      </w:r>
    </w:p>
    <w:p w14:paraId="15BAD36D">
      <w:pPr>
        <w:rPr>
          <w:rFonts w:hint="default" w:ascii="Times New Roman Regular" w:hAnsi="Times New Roman Regular" w:cs="Times New Roman Regular"/>
        </w:rPr>
      </w:pPr>
      <w:r>
        <w:rPr>
          <w:rFonts w:hint="default" w:ascii="Times New Roman Regular" w:hAnsi="Times New Roman Regular" w:cs="Times New Roman Regular"/>
        </w:rPr>
        <w:t>To determine whether BCI-assisted pneumatic hand training combined with conventional occupational therapy produces greater improvement in upper limb motor impairment than conventional occupational therapy alone, as measured by the change in the Fugl–Meyer Assessment for the Upper Extremity (FMA-UE) score from baseline to the end of the 2-week intervention.</w:t>
      </w:r>
    </w:p>
    <w:p w14:paraId="7A2D8816">
      <w:pPr>
        <w:rPr>
          <w:rFonts w:hint="default" w:ascii="Times New Roman Regular" w:hAnsi="Times New Roman Regular" w:cs="Times New Roman Regular"/>
        </w:rPr>
      </w:pPr>
      <w:r>
        <w:rPr>
          <w:rFonts w:hint="default" w:ascii="Times New Roman Regular" w:hAnsi="Times New Roman Regular" w:cs="Times New Roman Regular"/>
          <w:b/>
        </w:rPr>
        <w:t>Secondary objectives:</w:t>
      </w:r>
    </w:p>
    <w:p w14:paraId="44E112A3">
      <w:pPr>
        <w:rPr>
          <w:rFonts w:hint="default" w:ascii="Times New Roman Regular" w:hAnsi="Times New Roman Regular" w:cs="Times New Roman Regular"/>
        </w:rPr>
      </w:pPr>
      <w:r>
        <w:rPr>
          <w:rFonts w:hint="default" w:ascii="Times New Roman Regular" w:hAnsi="Times New Roman Regular" w:cs="Times New Roman Regular"/>
        </w:rPr>
        <w:t>1. To compare changes in upper limb activity and functional independence between groups using the Action Research Arm Test (ARAT), the Wolf Motor Function Test (WMFT), and the Modified Barthel Index (MBI).</w:t>
      </w:r>
    </w:p>
    <w:p w14:paraId="2795D786">
      <w:pPr>
        <w:rPr>
          <w:rFonts w:hint="default" w:ascii="Times New Roman Regular" w:hAnsi="Times New Roman Regular" w:cs="Times New Roman Regular"/>
        </w:rPr>
      </w:pPr>
      <w:r>
        <w:rPr>
          <w:rFonts w:hint="default" w:ascii="Times New Roman Regular" w:hAnsi="Times New Roman Regular" w:cs="Times New Roman Regular"/>
        </w:rPr>
        <w:t>2. To compare the proportion of patients achieving the minimal clinically important difference (MCID) on the FMA-UE, ARAT, WMFT, and MBI between groups.</w:t>
      </w:r>
    </w:p>
    <w:p w14:paraId="03F39959">
      <w:pPr>
        <w:rPr>
          <w:rFonts w:hint="default" w:ascii="Times New Roman Regular" w:hAnsi="Times New Roman Regular" w:cs="Times New Roman Regular"/>
        </w:rPr>
      </w:pPr>
      <w:r>
        <w:rPr>
          <w:rFonts w:hint="default" w:ascii="Times New Roman Regular" w:hAnsi="Times New Roman Regular" w:cs="Times New Roman Regular"/>
        </w:rPr>
        <w:t>3. To characterize resting-state EEG spectral power and its topographic distribution before and after the intervention, and to compare these measures with those of an age- and sex-matched healthy control group.</w:t>
      </w:r>
    </w:p>
    <w:p w14:paraId="29A83D1C">
      <w:pPr>
        <w:rPr>
          <w:rFonts w:hint="default" w:ascii="Times New Roman Regular" w:hAnsi="Times New Roman Regular" w:cs="Times New Roman Regular"/>
        </w:rPr>
      </w:pPr>
      <w:r>
        <w:rPr>
          <w:rFonts w:hint="default" w:ascii="Times New Roman Regular" w:hAnsi="Times New Roman Regular" w:cs="Times New Roman Regular"/>
        </w:rPr>
        <w:t>4. To explore the association between EEG-derived metrics (e.g., beta-band relative power) and upper limb function and its recovery.</w:t>
      </w:r>
    </w:p>
    <w:p w14:paraId="03AB63AF">
      <w:pPr>
        <w:rPr>
          <w:rFonts w:hint="default" w:ascii="Times New Roman Regular" w:hAnsi="Times New Roman Regular" w:cs="Times New Roman Regular"/>
        </w:rPr>
      </w:pPr>
      <w:r>
        <w:rPr>
          <w:rFonts w:hint="default" w:ascii="Times New Roman Regular" w:hAnsi="Times New Roman Regular" w:cs="Times New Roman Regular"/>
        </w:rPr>
        <w:t>Treatment safety was monitored for participant protection but was not defined as a pre-specified study objective, and no formal safety endpoint was analysed.</w:t>
      </w:r>
    </w:p>
    <w:p w14:paraId="33F050DF">
      <w:pPr>
        <w:rPr>
          <w:rFonts w:hint="default" w:ascii="Times New Roman Regular" w:hAnsi="Times New Roman Regular" w:cs="Times New Roman Regular"/>
          <w:b/>
          <w:bCs/>
        </w:rPr>
      </w:pPr>
    </w:p>
    <w:p w14:paraId="6567A26C">
      <w:pPr>
        <w:rPr>
          <w:rFonts w:hint="default" w:ascii="Times New Roman Regular" w:hAnsi="Times New Roman Regular" w:cs="Times New Roman Regular"/>
          <w:b/>
          <w:bCs/>
        </w:rPr>
      </w:pPr>
      <w:r>
        <w:rPr>
          <w:rFonts w:hint="default" w:ascii="Times New Roman Regular" w:hAnsi="Times New Roman Regular" w:cs="Times New Roman Regular"/>
          <w:b/>
          <w:bCs/>
        </w:rPr>
        <w:t>Study design</w:t>
      </w:r>
    </w:p>
    <w:p w14:paraId="45B6244D">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Type of study: This is a single-center, prospective, two-arm, parallel-group, interventional randomized controlled trial (RCT) , incorporating a longitudinal electrophysiological (resting-state EEG) sub-study and an age- and sex-matched healthy control reference group.</w:t>
      </w:r>
    </w:p>
    <w:p w14:paraId="2A807BDF">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 xml:space="preserve">Study population and sampling frame: Patients with first-ever subacute stroke consecutively admitted to the Department of Rehabilitation Medicine, Beijing Tsinghua Changgung Hospital, between January 2024 and March 2025 were screened for eligibility. All participants met the diagnostic criteria for stroke according to the Chinese Guidelines for the Diagnosis of Major Cerebrovascular Diseases (2019), with diagnosis confirmed by cranial computed tomography (CT) or magnetic resonance imaging (MRI). </w:t>
      </w:r>
      <w:r>
        <w:rPr>
          <w:rFonts w:hint="default" w:ascii="Times New Roman Regular" w:hAnsi="Times New Roman Regular" w:cs="Times New Roman Regular"/>
          <w:lang w:val="en-US" w:eastAsia="zh-CN"/>
        </w:rPr>
        <w:tab/>
      </w:r>
      <w:r>
        <w:rPr>
          <w:rFonts w:hint="default" w:ascii="Times New Roman Regular" w:hAnsi="Times New Roman Regular" w:cs="Times New Roman Regular"/>
        </w:rPr>
        <w:t>In total, 129 patients were enrolled and randomized (72 to the BCI group and 57 to the control group). For the quantitative EEG comparison, an age- and sex-matched healthy control group (n = 24) was recruited from the community and hospital-staff volunteers.</w:t>
      </w:r>
    </w:p>
    <w:p w14:paraId="136A0C87">
      <w:pPr>
        <w:rPr>
          <w:rFonts w:hint="default" w:ascii="Times New Roman Regular" w:hAnsi="Times New Roman Regular" w:cs="Times New Roman Regular"/>
        </w:rPr>
      </w:pPr>
      <w:r>
        <w:rPr>
          <w:rFonts w:hint="default" w:ascii="Times New Roman Regular" w:hAnsi="Times New Roman Regular" w:cs="Times New Roman Regular"/>
          <w:b/>
        </w:rPr>
        <w:t>Inclusion criteria:</w:t>
      </w:r>
    </w:p>
    <w:p w14:paraId="27282430">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1. Diagnosis of stroke meeting the above criteria and confirmed by CT or MRI;</w:t>
      </w:r>
    </w:p>
    <w:p w14:paraId="669763EA">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2. First-ever stroke, with a disease duration of 7 days to 3 months (subacute phase);</w:t>
      </w:r>
    </w:p>
    <w:p w14:paraId="11C2A1AD">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3. Age between 30 and 75 years;</w:t>
      </w:r>
    </w:p>
    <w:p w14:paraId="6DEEEFD9">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4. Stable vital signs, clear consciousness, and adequate comprehension to follow instructions and complete assessments;</w:t>
      </w:r>
    </w:p>
    <w:p w14:paraId="3568D244">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5. No progressive neurological deterioration, with stable conditions of other major organ systems;</w:t>
      </w:r>
    </w:p>
    <w:p w14:paraId="32043190">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6. Willingness to participate and provision of written informed consent.</w:t>
      </w:r>
    </w:p>
    <w:p w14:paraId="7363752A">
      <w:pPr>
        <w:rPr>
          <w:rFonts w:hint="default" w:ascii="Times New Roman Regular" w:hAnsi="Times New Roman Regular" w:cs="Times New Roman Regular"/>
        </w:rPr>
      </w:pPr>
      <w:r>
        <w:rPr>
          <w:rFonts w:hint="default" w:ascii="Times New Roman Regular" w:hAnsi="Times New Roman Regular" w:cs="Times New Roman Regular"/>
          <w:b/>
        </w:rPr>
        <w:t>Exclusion criteria:</w:t>
      </w:r>
    </w:p>
    <w:p w14:paraId="442124AB">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1. Disturbance of consciousness;</w:t>
      </w:r>
    </w:p>
    <w:p w14:paraId="4D6B1554">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2. Coexisting neurological disorders;</w:t>
      </w:r>
    </w:p>
    <w:p w14:paraId="326C966D">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3. Severe cognitive impairment, psychiatric symptoms, or emotional disorders that would interfere with training or assessment;</w:t>
      </w:r>
    </w:p>
    <w:p w14:paraId="3538395D">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4. Severe dysfunction of major organs (heart, lung, liver, or kidney);</w:t>
      </w:r>
    </w:p>
    <w:p w14:paraId="6E13463C">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5. History of epilepsy or current use of antiepileptic medication;</w:t>
      </w:r>
    </w:p>
    <w:p w14:paraId="5FEF0EA0">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6. Clinical deterioration, including new infarction or increased hemorrhage;</w:t>
      </w:r>
    </w:p>
    <w:p w14:paraId="03BCC258">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7. Significant skull defects or other conditions affecting EEG acquisition;</w:t>
      </w:r>
    </w:p>
    <w:p w14:paraId="2BE14C40">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8. Presence of a pacemaker, intracranial metal implants, or other implanted metallic devices;</w:t>
      </w:r>
    </w:p>
    <w:p w14:paraId="3EDB4FB6">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9. Inability or unwillingness to complete the study for any reason.</w:t>
      </w:r>
    </w:p>
    <w:p w14:paraId="2994D870">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Healthy control criteria: no history of stroke or other neurological or major psychiatric disease, no significant cognitive impairment, and no contraindication to EEG. Healthy controls underwent the same resting-state EEG acquisition procedure as patients.</w:t>
      </w:r>
    </w:p>
    <w:p w14:paraId="5938402B">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Withdrawal criteria: Participants were free to withdraw from the study at any time and for any reason without affecting their routine clinical care. Investigators could withdraw a participant in the event of clinical deterioration, a serious adverse event, or any condition making continued participation unsafe. Withdrawn participants were retained in the analysis for outcomes with available data; no imputation was performed for missing data.</w:t>
      </w:r>
    </w:p>
    <w:p w14:paraId="544451FC">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Expected duration: Recruitment ran from January 2024 to March 2025. Each participant received a 2-week intervention (five sessions per week), with clinical outcome assessments at two time points—baseline (before intervention) and immediately after the 2-week intervention. Resting-state EEG was recorded before and after the intervention in the EEG sub-group.</w:t>
      </w:r>
    </w:p>
    <w:p w14:paraId="4D8F573B">
      <w:pPr>
        <w:rPr>
          <w:rFonts w:hint="default" w:ascii="Times New Roman Regular" w:hAnsi="Times New Roman Regular" w:cs="Times New Roman Regular"/>
          <w:b/>
          <w:bCs/>
        </w:rPr>
      </w:pPr>
    </w:p>
    <w:p w14:paraId="274FCE5A">
      <w:pPr>
        <w:rPr>
          <w:rFonts w:hint="default" w:ascii="Times New Roman Regular" w:hAnsi="Times New Roman Regular" w:cs="Times New Roman Regular"/>
          <w:b/>
          <w:bCs/>
        </w:rPr>
      </w:pPr>
      <w:r>
        <w:rPr>
          <w:rFonts w:hint="default" w:ascii="Times New Roman Regular" w:hAnsi="Times New Roman Regular" w:cs="Times New Roman Regular"/>
          <w:b/>
          <w:bCs/>
        </w:rPr>
        <w:t>Methodology</w:t>
      </w:r>
    </w:p>
    <w:p w14:paraId="5C08B6F3">
      <w:pPr>
        <w:rPr>
          <w:rFonts w:hint="default" w:ascii="Times New Roman Regular" w:hAnsi="Times New Roman Regular" w:cs="Times New Roman Regular"/>
        </w:rPr>
      </w:pPr>
      <w:r>
        <w:rPr>
          <w:rFonts w:hint="default" w:ascii="Times New Roman Regular" w:hAnsi="Times New Roman Regular" w:cs="Times New Roman Regular"/>
          <w:b/>
        </w:rPr>
        <w:t>Randomization and allocation concealment:</w:t>
      </w:r>
    </w:p>
    <w:p w14:paraId="49638934">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Eligible participants were randomly assigned to the BCI group or the control group using a computer-generated randomization sequence (simple randomization). The allocation sequence was generated by an independent statistician who was not involved in participant enrollment, intervention delivery, outcome assessment, or data analysis. Allocation concealment was ensured using sequentially numbered, opaque, sealed envelopes opened in enrollment order. A research coordinator, who did not participate in sequence generation and had no advance access to the sequence, enrolled participants and assigned them to their allocated group. Because simple randomization was applied continuously throughout recruitment, the final group sizes were not exactly equal (72 in the BCI group and 57 in the control group).</w:t>
      </w:r>
    </w:p>
    <w:p w14:paraId="710E3BD7">
      <w:pPr>
        <w:rPr>
          <w:rFonts w:hint="default" w:ascii="Times New Roman Regular" w:hAnsi="Times New Roman Regular" w:cs="Times New Roman Regular"/>
          <w:b/>
        </w:rPr>
      </w:pPr>
    </w:p>
    <w:p w14:paraId="07258B49">
      <w:pPr>
        <w:rPr>
          <w:rFonts w:hint="default" w:ascii="Times New Roman Regular" w:hAnsi="Times New Roman Regular" w:cs="Times New Roman Regular"/>
        </w:rPr>
      </w:pPr>
      <w:r>
        <w:rPr>
          <w:rFonts w:hint="default" w:ascii="Times New Roman Regular" w:hAnsi="Times New Roman Regular" w:cs="Times New Roman Regular"/>
          <w:b/>
        </w:rPr>
        <w:t>Blinding:</w:t>
      </w:r>
    </w:p>
    <w:p w14:paraId="76113014">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Because the BCI device and pneumatic hand were overtly visible, participants and treating therapists could not be blinded to treatment allocation. Outcome assessors and data analysts were blinded to group allocation. Treating therapists delivered the interventions but were not involved in outcome assessment or statistical analysis. Blinding was maintained by using coded, de-identified datasets, and all statistical analyses were performed under blinded conditions until the analyses were complete.</w:t>
      </w:r>
    </w:p>
    <w:p w14:paraId="2612E7F9">
      <w:pPr>
        <w:rPr>
          <w:rFonts w:hint="default" w:ascii="Times New Roman Regular" w:hAnsi="Times New Roman Regular" w:cs="Times New Roman Regular"/>
          <w:b/>
        </w:rPr>
      </w:pPr>
    </w:p>
    <w:p w14:paraId="7E8BA318">
      <w:pPr>
        <w:rPr>
          <w:rFonts w:hint="default" w:ascii="Times New Roman Regular" w:hAnsi="Times New Roman Regular" w:cs="Times New Roman Regular"/>
        </w:rPr>
      </w:pPr>
      <w:r>
        <w:rPr>
          <w:rFonts w:hint="default" w:ascii="Times New Roman Regular" w:hAnsi="Times New Roman Regular" w:cs="Times New Roman Regular"/>
          <w:b/>
        </w:rPr>
        <w:t>Interventions — Control group:</w:t>
      </w:r>
    </w:p>
    <w:p w14:paraId="5075243B">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Participants in the control group received conventional occupational therapy (OT) twice daily, 30 minutes per session, five times per week for 2 weeks. The intervention included proper limb positioning, hand-function training, and commonly used neurorehabilitation techniques (Bobath concept, proprioceptive neuromuscular facilitation [PNF], Brunnstrom approach, Rood technique, and motor relearning therapy), as well as activities of daily living (ADL) training. All interventions were delivered by registered occupational therapists with clinical experience in neurorehabilitation and represent standard clinical OT practice.</w:t>
      </w:r>
    </w:p>
    <w:p w14:paraId="05C1F53F">
      <w:pPr>
        <w:rPr>
          <w:rFonts w:hint="default" w:ascii="Times New Roman Regular" w:hAnsi="Times New Roman Regular" w:cs="Times New Roman Regular"/>
          <w:b/>
        </w:rPr>
      </w:pPr>
    </w:p>
    <w:p w14:paraId="10611D47">
      <w:pPr>
        <w:rPr>
          <w:rFonts w:hint="default" w:ascii="Times New Roman Regular" w:hAnsi="Times New Roman Regular" w:cs="Times New Roman Regular"/>
        </w:rPr>
      </w:pPr>
      <w:r>
        <w:rPr>
          <w:rFonts w:hint="default" w:ascii="Times New Roman Regular" w:hAnsi="Times New Roman Regular" w:cs="Times New Roman Regular"/>
          <w:b/>
        </w:rPr>
        <w:t>Interventions — BCI group:</w:t>
      </w:r>
    </w:p>
    <w:p w14:paraId="2684C8C3">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Participants in the BCI group received conventional OT combined with BCI training. Conventional OT was administered once daily (30 minutes per session, five times per week for 2 weeks) with the same content as the control group; BCI training was performed once daily (30 minutes per session, five times per week for 2 weeks). To minimize potential order effects, a randomized alternating training sequence was used, determined by a computer-generated random number table at enrollment and kept fixed throughout the intervention period.</w:t>
      </w:r>
    </w:p>
    <w:p w14:paraId="759B40A1">
      <w:pPr>
        <w:rPr>
          <w:rFonts w:hint="default" w:ascii="Times New Roman Regular" w:hAnsi="Times New Roman Regular" w:cs="Times New Roman Regular"/>
          <w:b/>
        </w:rPr>
      </w:pPr>
    </w:p>
    <w:p w14:paraId="19FBFBC9">
      <w:pPr>
        <w:rPr>
          <w:rFonts w:hint="default" w:ascii="Times New Roman Regular" w:hAnsi="Times New Roman Regular" w:cs="Times New Roman Regular"/>
        </w:rPr>
      </w:pPr>
      <w:r>
        <w:rPr>
          <w:rFonts w:hint="default" w:ascii="Times New Roman Regular" w:hAnsi="Times New Roman Regular" w:cs="Times New Roman Regular"/>
          <w:b/>
        </w:rPr>
        <w:t>BCI system and training paradigm:</w:t>
      </w:r>
    </w:p>
    <w:p w14:paraId="2B6A6B9A">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The BCI system was an active rehabilitation system integrating a brain–computer interface with a pneumatic hand device, developed under the National Key Research and Development Program of China (Project No. 2022YFC3601100). The system used a motor imagery (MI)–based paradigm with video-guided and auditory instructions to enhance patient engagement and improve the discriminability of EEG signals. When valid EEG patterns were detected, the pneumatic hand device executed synchronized grasping, extension, and wrist-dorsiflexion movements, providing real-time motor feedback (closed-loop feedback). Each session comprised three difficulty levels—easy (a page-turning task, three steps per action, five cycles, ~6 min), moderate (opening a can with one hand, four steps per action, five cycles, ~8 min), and difficult (grasping a milk cup, five steps per action, five cycles, ~9 min)—with a 1-minute resting-state EEG recording obtained before each level. Participants performed motor imagery of each action step; successful imagery triggered the pneumatic hand to execute a grasping movement. BCI training was delivered by therapists and research staff who had completed dedicated training in system operation (electrode placement, signal-quality checking, calibration, task instruction, device operation, and management of discomfort or adverse events), following predefined standard operating procedures to maintain treatment fidelity, with all sessions documented. During the trial, both groups received routine inpatient stroke care; concomitant rehabilitation and medications were not restricted. A schematic of the BCI-based rehabilitation system is shown in Figure 1.</w:t>
      </w:r>
    </w:p>
    <w:p w14:paraId="47034C16">
      <w:pPr>
        <w:rPr>
          <w:rFonts w:hint="default" w:ascii="Times New Roman Regular" w:hAnsi="Times New Roman Regular" w:cs="Times New Roman Regular"/>
          <w:b/>
        </w:rPr>
      </w:pPr>
    </w:p>
    <w:p w14:paraId="1F24BFCD">
      <w:pPr>
        <w:rPr>
          <w:rFonts w:hint="default" w:ascii="Times New Roman Regular" w:hAnsi="Times New Roman Regular" w:cs="Times New Roman Regular"/>
        </w:rPr>
      </w:pPr>
      <w:r>
        <w:rPr>
          <w:rFonts w:hint="default" w:ascii="Times New Roman Regular" w:hAnsi="Times New Roman Regular" w:cs="Times New Roman Regular"/>
          <w:b/>
        </w:rPr>
        <w:t>EEG acquisition and analysis:</w:t>
      </w:r>
    </w:p>
    <w:p w14:paraId="120461CC">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Resting-state EEG was recorded using a multi-channel acquisition system (NSM2, Boruikang Technology, Changzhou, China) at a sampling rate of 2000 Hz with an online average reference. A 32-channel electrode cap was arranged according to the international 10–20 system, covering frontal, central, parietal, occipital, and temporal regions. Ag/AgCl electrodes were used and electrode impedance was kept below 20 kΩ. Participants were seated comfortably in a quiet environment and instructed to remain awake with eyes open during a 10-minute recording. Offline processing was performed in MNE-Python: 50 Hz notch filtering, band-pass filtering (1–45 Hz), detection and interpolation of bad channels, independent component analysis (ICA) for ocular and physiological artifact correction, and re-referencing to the common average. Power spectral density was estimated using Welch’s method (2 s window, 50% overlap, Hamming window; 1–42.5 Hz). Frequency bands were defined as delta (1–4 Hz), theta (4–8 Hz), alpha (8–13 Hz), beta (13–30 Hz), and gamma (30–42.5 Hz), and band power was normalized to relative power (proportion of total 1–42.5 Hz power). Relative power values were projected onto the scalp to generate topographic maps. Functional connectivity metrics were additionally evaluated and their relationships with clinical outcomes assessed. All EEG measures were computed at the individual level and used for between-group and pre–post comparisons.</w:t>
      </w:r>
    </w:p>
    <w:p w14:paraId="34245CFD">
      <w:pPr>
        <w:rPr>
          <w:rFonts w:hint="default" w:ascii="Times New Roman Regular" w:hAnsi="Times New Roman Regular" w:cs="Times New Roman Regular"/>
          <w:b/>
        </w:rPr>
      </w:pPr>
    </w:p>
    <w:p w14:paraId="6591015D">
      <w:pPr>
        <w:rPr>
          <w:rFonts w:hint="default" w:ascii="Times New Roman Regular" w:hAnsi="Times New Roman Regular" w:cs="Times New Roman Regular"/>
        </w:rPr>
      </w:pPr>
      <w:r>
        <w:rPr>
          <w:rFonts w:hint="default" w:ascii="Times New Roman Regular" w:hAnsi="Times New Roman Regular" w:cs="Times New Roman Regular"/>
          <w:b/>
        </w:rPr>
        <w:t>Clinical outcome measures:</w:t>
      </w:r>
    </w:p>
    <w:p w14:paraId="5EE11C20">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The primary outcome was the change in FMA-UE score from baseline to the end of the 2-week intervention. Secondary outcomes were changes in ARAT, WMFT, and MBI scores. All clinical outcomes were assessed at baseline (before intervention) and immediately after the 2-week intervention.</w:t>
      </w:r>
    </w:p>
    <w:p w14:paraId="4FA50391">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FMA-UE (Fugl–Meyer Assessment for the Upper Extremity): a validated 33-item scale (total 66 points; each item 0–2) evaluating joint movement, reflexes, coordination, and isolated movements of the shoulder, elbow, forearm, wrist, and hand; higher scores indicate better motor function.</w:t>
      </w:r>
    </w:p>
    <w:p w14:paraId="16C81EBE">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ARAT (Action Research Arm Test): a standardized 19-task test across grasp, grip, pinch, and gross movement (each 0–3; total 57 points), with higher scores indicating better upper limb function.</w:t>
      </w:r>
    </w:p>
    <w:p w14:paraId="4F26B482">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WMFT (Wolf Motor Function Test): 15 task-oriented movements plus 2 strength-based tasks, assessing completion time (seconds) and movement quality (0–5); shorter times and higher quality scores indicate better performance.</w:t>
      </w:r>
    </w:p>
    <w:p w14:paraId="3683F1BF">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MBI (Modified Barthel Index): a 10-item measure of functional independence in ADL (total 0–100); higher scores indicate greater independence.</w:t>
      </w:r>
    </w:p>
    <w:p w14:paraId="2450A726">
      <w:pPr>
        <w:rPr>
          <w:rFonts w:hint="default" w:ascii="Times New Roman Regular" w:hAnsi="Times New Roman Regular" w:cs="Times New Roman Regular"/>
          <w:b/>
        </w:rPr>
      </w:pPr>
    </w:p>
    <w:p w14:paraId="262E94CC">
      <w:pPr>
        <w:rPr>
          <w:rFonts w:hint="default" w:ascii="Times New Roman Regular" w:hAnsi="Times New Roman Regular" w:cs="Times New Roman Regular"/>
        </w:rPr>
      </w:pPr>
      <w:r>
        <w:rPr>
          <w:rFonts w:hint="default" w:ascii="Times New Roman Regular" w:hAnsi="Times New Roman Regular" w:cs="Times New Roman Regular"/>
          <w:b/>
        </w:rPr>
        <w:t>Minimal clinically important difference (MCID):</w:t>
      </w:r>
    </w:p>
    <w:p w14:paraId="3C8877C2">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To evaluate the clinical significance of treatment effects, MCID thresholds were applied to the primary and secondary outcomes: FMA-UE 12.4 points, ARAT 12 points, and WMFT 1.0 point, based on prior anchor-based studies. For the MBI, the reported Barthel Index MCID of 1.85 points (20-point scale) corresponds to approximately 9–10 points on the 100-point MBI after linear transformation; an improvement of approximately 9–10 points was therefore considered clinically meaningful. Patients were classified as achieving or not achieving MCID, and the proportion of responders was compared between groups. MCID responder analyses used complete-case samples for each scale; participants with missing post-intervention data for a given outcome were excluded from that outcome’s MCID analysis but retained elsewhere where relevant data were available.</w:t>
      </w:r>
    </w:p>
    <w:p w14:paraId="4CAEEFCC">
      <w:pPr>
        <w:rPr>
          <w:rFonts w:hint="default" w:ascii="Times New Roman Regular" w:hAnsi="Times New Roman Regular" w:cs="Times New Roman Regular"/>
          <w:b/>
        </w:rPr>
      </w:pPr>
    </w:p>
    <w:p w14:paraId="0AB862A5">
      <w:pPr>
        <w:rPr>
          <w:rFonts w:hint="default" w:ascii="Times New Roman Regular" w:hAnsi="Times New Roman Regular" w:cs="Times New Roman Regular"/>
        </w:rPr>
      </w:pPr>
      <w:r>
        <w:rPr>
          <w:rFonts w:hint="default" w:ascii="Times New Roman Regular" w:hAnsi="Times New Roman Regular" w:cs="Times New Roman Regular"/>
          <w:b/>
        </w:rPr>
        <w:t>Study flow diagram:</w:t>
      </w:r>
    </w:p>
    <w:p w14:paraId="7D4985A2">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A graphic outline of the study design, participant flow, group allocation, intervention, and the timing of assessments (baseline and post-intervention, at 2 weeks) is provided in the study flow diagram (Figure 2).</w:t>
      </w:r>
    </w:p>
    <w:p w14:paraId="6A9D9BE0">
      <w:pPr>
        <w:rPr>
          <w:rFonts w:hint="default" w:ascii="Times New Roman Regular" w:hAnsi="Times New Roman Regular" w:cs="Times New Roman Regular"/>
          <w:b/>
          <w:bCs/>
        </w:rPr>
      </w:pPr>
    </w:p>
    <w:p w14:paraId="7828D1D3">
      <w:pPr>
        <w:rPr>
          <w:rFonts w:hint="default" w:ascii="Times New Roman Regular" w:hAnsi="Times New Roman Regular" w:cs="Times New Roman Regular"/>
          <w:b/>
          <w:bCs/>
        </w:rPr>
      </w:pPr>
      <w:r>
        <w:rPr>
          <w:rFonts w:hint="default" w:ascii="Times New Roman Regular" w:hAnsi="Times New Roman Regular" w:cs="Times New Roman Regular"/>
          <w:b/>
          <w:bCs/>
        </w:rPr>
        <w:t>Safety considerations</w:t>
      </w:r>
    </w:p>
    <w:p w14:paraId="4775976C">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Adverse events were defined as any untoward or unintended medical occurrence during the trial, regardless of presumed relationship to the intervention. Adverse events of interest included, but were not limited to, fatigue, dizziness, headache, skin irritation or discomfort at electrode sites, muscle soreness, increased spasticity, pain, abnormal blood-pressure responses, falls, and any other unexpected symptoms occurring during or after occupational therapy or BCI training.</w:t>
      </w:r>
    </w:p>
    <w:p w14:paraId="5D7BF17D">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A safety stopping guideline was specified: the intervention would be discontinued if a serious adverse event occurred. Serious adverse events were defined as events resulting in death, that were life-threatening, that required or prolonged hospitalization, that caused persistent disability, or that were otherwise judged medically important by the investigators.</w:t>
      </w:r>
    </w:p>
    <w:p w14:paraId="4395EF98">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 xml:space="preserve">Adverse events were collected systematically. Before and after each session, therapists actively asked participants about any discomfort or new symptoms and monitored their condition during training; any adverse or unintended event was recorded on a standardized case report form (date of onset, presentation, severity, duration, management, outcome, and possible relationship to the intervention). Vital signs and tolerance were monitored when indicated, and participants were instructed to report any delayed discomfort occurring outside treatment sessions. Safety monitoring was performed during every intervention session and at each outcome-assessment visit. </w:t>
      </w:r>
      <w:r>
        <w:rPr>
          <w:rFonts w:hint="eastAsia" w:ascii="Times New Roman Regular" w:hAnsi="Times New Roman Regular" w:cs="Times New Roman Regular"/>
          <w:lang w:val="en-US" w:eastAsia="zh-CN"/>
        </w:rPr>
        <w:tab/>
      </w:r>
      <w:r>
        <w:rPr>
          <w:rFonts w:hint="default" w:ascii="Times New Roman Regular" w:hAnsi="Times New Roman Regular" w:cs="Times New Roman Regular"/>
        </w:rPr>
        <w:t>All adverse events were reviewed by the study team, and serious adverse events were to be reported promptly in accordance with the requirements of the Institutional Ethics Committee of Beijing Tsinghua Changgung Hospital.</w:t>
      </w:r>
    </w:p>
    <w:p w14:paraId="586974DF">
      <w:pPr>
        <w:rPr>
          <w:rFonts w:hint="default" w:ascii="Times New Roman Regular" w:hAnsi="Times New Roman Regular" w:cs="Times New Roman Regular"/>
          <w:b/>
          <w:bCs/>
        </w:rPr>
      </w:pPr>
    </w:p>
    <w:p w14:paraId="4BEEA4E6">
      <w:pPr>
        <w:rPr>
          <w:rFonts w:hint="default" w:ascii="Times New Roman Regular" w:hAnsi="Times New Roman Regular" w:cs="Times New Roman Regular"/>
          <w:b/>
          <w:bCs/>
        </w:rPr>
      </w:pPr>
      <w:r>
        <w:rPr>
          <w:rFonts w:hint="default" w:ascii="Times New Roman Regular" w:hAnsi="Times New Roman Regular" w:cs="Times New Roman Regular"/>
          <w:b/>
          <w:bCs/>
        </w:rPr>
        <w:t>Follow-up</w:t>
      </w:r>
    </w:p>
    <w:p w14:paraId="0E78F4D6">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Each participant was followed for the duration of the 2-week intervention, with structured clinical assessments performed at baseline and immediately after the intervention. Safety follow-up was continuous throughout the intervention period: participants were assessed before and after every session and at each outcome-assessment visit, and were instructed to report any delayed discomfort arising outside treatment sessions. Any adverse event was followed until resolution or clinical stabilization. Participants who experienced clinical deterioration or a serious adverse event were managed according to routine inpatient stroke care and, where appropriate, withdrawn from the intervention while continuing to receive standard clinical treatment. No additional long-term follow-up beyond the immediate post-intervention assessment was planned in this study; longer-term follow-up is identified as a direction for future research.</w:t>
      </w:r>
    </w:p>
    <w:p w14:paraId="22A28F7B">
      <w:pPr>
        <w:rPr>
          <w:rFonts w:hint="default" w:ascii="Times New Roman Regular" w:hAnsi="Times New Roman Regular" w:cs="Times New Roman Regular"/>
          <w:b/>
          <w:bCs/>
        </w:rPr>
      </w:pPr>
    </w:p>
    <w:p w14:paraId="5D7A9838">
      <w:pPr>
        <w:rPr>
          <w:rFonts w:hint="default" w:ascii="Times New Roman Regular" w:hAnsi="Times New Roman Regular" w:cs="Times New Roman Regular"/>
          <w:b/>
          <w:bCs/>
        </w:rPr>
      </w:pPr>
      <w:r>
        <w:rPr>
          <w:rFonts w:hint="default" w:ascii="Times New Roman Regular" w:hAnsi="Times New Roman Regular" w:cs="Times New Roman Regular"/>
          <w:b/>
          <w:bCs/>
        </w:rPr>
        <w:t>Data management and statistical analysis</w:t>
      </w:r>
    </w:p>
    <w:p w14:paraId="37D40408">
      <w:pPr>
        <w:rPr>
          <w:rFonts w:hint="default" w:ascii="Times New Roman Regular" w:hAnsi="Times New Roman Regular" w:cs="Times New Roman Regular"/>
        </w:rPr>
      </w:pPr>
      <w:r>
        <w:rPr>
          <w:rFonts w:hint="default" w:ascii="Times New Roman Regular" w:hAnsi="Times New Roman Regular" w:cs="Times New Roman Regular"/>
          <w:b/>
        </w:rPr>
        <w:t>Data management:</w:t>
      </w:r>
    </w:p>
    <w:p w14:paraId="3F6B6726">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Clinical and EEG data were recorded on standardized case report forms and entered into a study database. Participant identifiers were replaced with codes, and de-identified datasets were used for all analyses to maintain blinding of assessors and analysts. Data were checked for completeness and plausibility, and range/consistency checks were applied during entry and verification. EEG recordings underwent predefined quality control, and recordings that did not meet quality standards were excluded from the EEG analyses.</w:t>
      </w:r>
    </w:p>
    <w:p w14:paraId="68F35CB2">
      <w:pPr>
        <w:rPr>
          <w:rFonts w:hint="default" w:ascii="Times New Roman Regular" w:hAnsi="Times New Roman Regular" w:cs="Times New Roman Regular"/>
          <w:b/>
        </w:rPr>
      </w:pPr>
    </w:p>
    <w:p w14:paraId="17ACE115">
      <w:pPr>
        <w:rPr>
          <w:rFonts w:hint="default" w:ascii="Times New Roman Regular" w:hAnsi="Times New Roman Regular" w:cs="Times New Roman Regular"/>
        </w:rPr>
      </w:pPr>
      <w:r>
        <w:rPr>
          <w:rFonts w:hint="default" w:ascii="Times New Roman Regular" w:hAnsi="Times New Roman Regular" w:cs="Times New Roman Regular"/>
          <w:b/>
        </w:rPr>
        <w:t>Sample size:</w:t>
      </w:r>
    </w:p>
    <w:p w14:paraId="6BD022F2">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The sample size was estimated using G*Power version 3.1, with the change in FMA-UE score from baseline to post-intervention as the primary outcome. Based on previous studies of upper limb rehabilitation after stroke and BCI-assisted interventions, a conservative moderate between-group effect was assumed: an expected between-group difference in FMA-UE change of 4.0 points with a common standard deviation of 8.0, corresponding to a standardized effect size of 0.50. With a two-sided significance level of α = 0.05, statistical power of 80% (1−β = 0.80), and a 1:1 allocation ratio, the minimum required sample size was 63 participants per group. After accounting for an anticipated dropout rate of 10%, the target was approximately 70 participants per group. No formal interim analyses were planned or conducted.</w:t>
      </w:r>
    </w:p>
    <w:p w14:paraId="50241B10">
      <w:pPr>
        <w:rPr>
          <w:rFonts w:hint="default" w:ascii="Times New Roman Regular" w:hAnsi="Times New Roman Regular" w:cs="Times New Roman Regular"/>
          <w:b/>
        </w:rPr>
      </w:pPr>
    </w:p>
    <w:p w14:paraId="419F4553">
      <w:pPr>
        <w:rPr>
          <w:rFonts w:hint="default" w:ascii="Times New Roman Regular" w:hAnsi="Times New Roman Regular" w:cs="Times New Roman Regular"/>
        </w:rPr>
      </w:pPr>
      <w:r>
        <w:rPr>
          <w:rFonts w:hint="default" w:ascii="Times New Roman Regular" w:hAnsi="Times New Roman Regular" w:cs="Times New Roman Regular"/>
          <w:b/>
        </w:rPr>
        <w:t>Statistical analysis:</w:t>
      </w:r>
    </w:p>
    <w:p w14:paraId="17E5D024">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Clinical outcomes were analysed for all randomized participants with available data for the respective outcome; no imputation was performed for missing data. The number of participants contributing to each analysis is reported with the corresponding result, and denominators for MCID responder analyses reflect the complete-case sample for each scale. Analyses were performed using SPSS version 26.0 (IBM Corp., Armonk, NY, USA) and Python. Continuous variables were tested for normality; normally distributed data are expressed as mean ± SD and compared using independent-samples t-tests, whereas non-normal data are expressed as median (IQR) and compared using the Mann–Whitney U test. Categorical variables are expressed as counts (%) and compared using the chi-square test or Fisher’s exact test. MCID responder rates were compared using the chi-square test.</w:t>
      </w:r>
    </w:p>
    <w:p w14:paraId="4C12BC71">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EEG spectral analyses were conducted in Python. Within-group (pre- vs. post-treatment) comparisons of relative band power used paired t-tests, and between-group comparisons used independent-samples t-tests; comparisons among the healthy control, BCI, and conventional therapy groups used one-way ANOVA with post hoc pairwise comparisons. Topographic analyses were performed at the channel level, with per-electrode tests. To control the type I error arising from multiple comparisons across frequency bands, channels, and outcomes, the Benjamini–Hochberg false discovery rate (FDR) procedure was applied; only electrodes remaining significant after FDR correction were considered to show meaningful spatial differences. Correlations between key EEG metrics and both baseline FMA-UE and FMA-UE change were assessed using Spearman’s rank correlation with FDR correction. The significance level was α = 0.05; a two-tailed P &lt; 0.05 or FDR-corrected P &lt; 0.05 was considered statistically significant. The EEG spectral, topographic, correlation, and EEG-subgroup analyses were exploratory and not pre-specified as confirmatory endpoints; their P values are interpreted descriptively. Figures were generated using GraphPad Prism 8 and Python.</w:t>
      </w:r>
    </w:p>
    <w:p w14:paraId="4AB28932">
      <w:pPr>
        <w:rPr>
          <w:rFonts w:hint="default" w:ascii="Times New Roman Regular" w:hAnsi="Times New Roman Regular" w:cs="Times New Roman Regular"/>
          <w:b/>
          <w:bCs/>
        </w:rPr>
      </w:pPr>
    </w:p>
    <w:p w14:paraId="404FD937">
      <w:pPr>
        <w:rPr>
          <w:rFonts w:hint="default" w:ascii="Times New Roman Regular" w:hAnsi="Times New Roman Regular" w:cs="Times New Roman Regular"/>
          <w:b/>
          <w:bCs/>
        </w:rPr>
      </w:pPr>
      <w:r>
        <w:rPr>
          <w:rFonts w:hint="default" w:ascii="Times New Roman Regular" w:hAnsi="Times New Roman Regular" w:cs="Times New Roman Regular"/>
          <w:b/>
          <w:bCs/>
        </w:rPr>
        <w:t>Quality assurance</w:t>
      </w:r>
    </w:p>
    <w:p w14:paraId="773FB0C3">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The trial was conducted in accordance with the principles of Good Clinical Practice (GCP) and the Declaration of Helsinki, under the oversight of the Institutional Ethics Committee of Beijing Tsinghua Changgung Hospital. Interventions were delivered by registered occupational therapists and by therapists and research staff who had completed dedicated training in operation of the brain–computer interface system (electrode placement, signal-quality checking, system calibration, task instruction, device operation, and management of discomfort or adverse events). All interventions were delivered according to predefined standard operating procedures to maintain treatment fidelity, and every session was documented. Randomization and allocation concealment were implemented by independent personnel; outcome assessors and data analysts were blinded and worked with coded, de-identified datasets. Data underwent completeness and consistency checks, and EEG recordings were subject to predefined quality-control criteria. Safety was monitored at every session and at each assessment visit, with all adverse events reviewed by the study team and serious adverse events reported promptly to the Institutional Ethics Committee. No important changes were made to the trial methods after commencement.</w:t>
      </w:r>
    </w:p>
    <w:p w14:paraId="1109B732">
      <w:pPr>
        <w:rPr>
          <w:rFonts w:hint="default" w:ascii="Times New Roman Regular" w:hAnsi="Times New Roman Regular" w:cs="Times New Roman Regular"/>
          <w:b/>
          <w:bCs/>
        </w:rPr>
      </w:pPr>
    </w:p>
    <w:p w14:paraId="3A24541D">
      <w:pPr>
        <w:rPr>
          <w:rFonts w:hint="default" w:ascii="Times New Roman Regular" w:hAnsi="Times New Roman Regular" w:cs="Times New Roman Regular"/>
          <w:b/>
          <w:bCs/>
        </w:rPr>
      </w:pPr>
      <w:r>
        <w:rPr>
          <w:rFonts w:hint="default" w:ascii="Times New Roman Regular" w:hAnsi="Times New Roman Regular" w:cs="Times New Roman Regular"/>
          <w:b/>
          <w:bCs/>
        </w:rPr>
        <w:t>Expected outcomes of the study</w:t>
      </w:r>
    </w:p>
    <w:p w14:paraId="78E97C76">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This study is expected to provide randomized controlled evidence on the clinical efficacy and electrophysiological mechanisms of BCI-assisted pneumatic hand training in subacute stroke, a phase in which high-quality evidence remains limited. By combining conventional clinical scales with MCID-based responder analysis, the study evaluates not only statistical differences at the group level but also whether improvements are clinically meaningful at the individual level. It is anticipated that BCI-assisted training will yield greater improvement in upper limb motor function (FMA-UE, ARAT, WMFT) and higher MCID responder rates than conventional therapy, and that resting-state EEG will show increased beta-band activity over central and parietal regions, indicating a normalization trend toward healthy-control values and a potential neurophysiological marker of sensorimotor cortical modulation.</w:t>
      </w:r>
    </w:p>
    <w:p w14:paraId="35607EC5">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The findings are expected to inform clinical rehabilitation practice by supporting the integration of BCI-based active rehabilitation into subacute stroke care, to advance understanding of the neurophysiological mechanisms underlying motor recovery, and to provide a basis for the design of larger, longer-term, multicenter trials incorporating multimodal neuroimaging. Ultimately, the results may contribute to the development of evidence-based rehabilitation strategies and health-care decision-making for stroke survivors.</w:t>
      </w:r>
    </w:p>
    <w:p w14:paraId="68EB1BDF">
      <w:pPr>
        <w:rPr>
          <w:rFonts w:hint="default" w:ascii="Times New Roman Regular" w:hAnsi="Times New Roman Regular" w:cs="Times New Roman Regular"/>
          <w:b/>
          <w:bCs/>
        </w:rPr>
      </w:pPr>
    </w:p>
    <w:p w14:paraId="3F5DEC07">
      <w:pPr>
        <w:rPr>
          <w:rFonts w:hint="default" w:ascii="Times New Roman Regular" w:hAnsi="Times New Roman Regular" w:cs="Times New Roman Regular"/>
          <w:b/>
          <w:bCs/>
        </w:rPr>
      </w:pPr>
      <w:r>
        <w:rPr>
          <w:rFonts w:hint="default" w:ascii="Times New Roman Regular" w:hAnsi="Times New Roman Regular" w:cs="Times New Roman Regular"/>
          <w:b/>
          <w:bCs/>
        </w:rPr>
        <w:t>Dissemination of results and publication policy</w:t>
      </w:r>
    </w:p>
    <w:p w14:paraId="0422CC61">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The results of this study will be disseminated through publication in a peer-reviewed international scientific journal and presentation at relevant academic conferences. The trial was prospectively registered with the Chinese Clinical Trial Registry (ChiCTR; registration number ChiCTR2400079594; https://www.chictr.org.cn), and the full trial protocol is provided as a peer-review file accompanying the submission. Key findings will also be communicated to participating clinicians and, in accessible form, to patients and the broader rehabilitation community; where relevant, results will be shared with health-policy stakeholders to inform stroke-rehabilitation practice.</w:t>
      </w:r>
    </w:p>
    <w:p w14:paraId="5D952026">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The Principal Investigator (Yu Pan) will take the lead on publication, with authorship determined according to the ICMJE criteria based on substantial contributions to the study. All co-investigators contributing to the design, conduct, analysis, or reporting will be appropriately credited, and other contributors will be acknowledged. The raw data supporting the findings are available from the corresponding author upon reasonable request, subject to ethical guidelines, institutional policies, and applicable data-protection regulations.</w:t>
      </w:r>
    </w:p>
    <w:p w14:paraId="4CDB3502">
      <w:pPr>
        <w:rPr>
          <w:rFonts w:hint="default" w:ascii="Times New Roman Regular" w:hAnsi="Times New Roman Regular" w:cs="Times New Roman Regular"/>
          <w:b/>
          <w:bCs/>
        </w:rPr>
      </w:pPr>
    </w:p>
    <w:p w14:paraId="42D265FC">
      <w:pPr>
        <w:rPr>
          <w:rFonts w:hint="default" w:ascii="Times New Roman Regular" w:hAnsi="Times New Roman Regular" w:cs="Times New Roman Regular"/>
          <w:b/>
          <w:bCs/>
        </w:rPr>
      </w:pPr>
      <w:r>
        <w:rPr>
          <w:rFonts w:hint="default" w:ascii="Times New Roman Regular" w:hAnsi="Times New Roman Regular" w:cs="Times New Roman Regular"/>
          <w:b/>
          <w:bCs/>
        </w:rPr>
        <w:t>Duration of the project</w:t>
      </w:r>
    </w:p>
    <w:p w14:paraId="49603F60">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The project spanned approximately the following phases: preparation and ethics approval, followed by prospective recruitment and intervention from January 2024 to March 2025, during which participants were consecutively screened, enrolled, randomized, and treated over an individual 2-week intervention period with baseline and post-intervention assessments. Data management, EEG processing, and statistical analysis were conducted following completion of recruitment, with subsequent interpretation, manuscript preparation, and submission. Recruitment was completed as planned once the target sample size was reached; the trial was not stopped early. An indicative month-by-month timeline is as follows:</w:t>
      </w:r>
    </w:p>
    <w:p w14:paraId="3921E5BC">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 Months 1–2: Protocol finalization, ethics approval, staff training, and standard-operating-procedure development.</w:t>
      </w:r>
    </w:p>
    <w:p w14:paraId="59194CEF">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 Months 3–15 (January 2024–March 2025): Participant screening, enrollment, randomization, intervention delivery (2 weeks per participant), and clinical/EEG assessments.</w:t>
      </w:r>
    </w:p>
    <w:p w14:paraId="0788FED9">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 Months 16–18: Data cleaning, EEG preprocessing and quantitative analysis, and statistical analysis.</w:t>
      </w:r>
    </w:p>
    <w:p w14:paraId="54A4A68E">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 Months 19–21: Interpretation of results, manuscript preparation, and submission for peer review.</w:t>
      </w:r>
    </w:p>
    <w:p w14:paraId="54CB420B">
      <w:pPr>
        <w:rPr>
          <w:rFonts w:hint="default" w:ascii="Times New Roman Regular" w:hAnsi="Times New Roman Regular" w:cs="Times New Roman Regular"/>
          <w:b/>
        </w:rPr>
      </w:pPr>
    </w:p>
    <w:p w14:paraId="439109D5">
      <w:pPr>
        <w:rPr>
          <w:rFonts w:hint="default" w:ascii="Times New Roman Regular" w:hAnsi="Times New Roman Regular" w:cs="Times New Roman Regular"/>
        </w:rPr>
      </w:pPr>
      <w:r>
        <w:rPr>
          <w:rFonts w:hint="default" w:ascii="Times New Roman Regular" w:hAnsi="Times New Roman Regular" w:cs="Times New Roman Regular"/>
          <w:b/>
        </w:rPr>
        <w:t>Problems anticipated</w:t>
      </w:r>
    </w:p>
    <w:p w14:paraId="2675D88C">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Several practical and methodological challenges were anticipated, together with mitigation strategies:</w:t>
      </w:r>
    </w:p>
    <w:p w14:paraId="352D1992">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1. Limited EEG sub-group size. EEG analyses were conducted in a relatively small subgroup, which may reduce statistical power, particularly for detecting functional-connectivity changes and EEG–clinical associations. Mitigation: predefined EEG quality-control criteria, individual-level metrics, FDR correction for multiple comparisons, and clear framing of EEG analyses as exploratory.</w:t>
      </w:r>
    </w:p>
    <w:p w14:paraId="502B3C51">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2. Short intervention and follow-up. The 2-week intervention and limited follow-up may capture early neurophysiological changes and short-term functional gains rather than long-term network reorganization or stable brain–behavior relationships. Mitigation: interpretation restricted to short-term effects, with longer interventions and extended follow-up proposed for future studies.</w:t>
      </w:r>
    </w:p>
    <w:p w14:paraId="335A9914">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3. Inability to blind participants and treating therapists. Because the BCI device and pneumatic hand are overtly visible, blinding of participants and therapists is not feasible. Mitigation: blinded outcome assessment and data analysis using coded, de-identified datasets.</w:t>
      </w:r>
    </w:p>
    <w:p w14:paraId="606663A5">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4. Unequal group sizes from simple randomization. Continuous simple randomization produced unequal group sizes. Mitigation: identical randomization and allocation-concealment procedures for all participants, and appropriate statistical handling.</w:t>
      </w:r>
    </w:p>
    <w:p w14:paraId="317F4A1B">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5. Missing post-intervention data. Some participants may have incomplete outcome data. Mitigation: complete-case analysis for each outcome with transparent reporting of denominators; no imputation performed.</w:t>
      </w:r>
    </w:p>
    <w:p w14:paraId="2FE4833E">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6. Scope of EEG analysis. Analyses focused on spectral power and topography; functional-connectivity analyses yielded no significant findings. Mitigation: future studies incorporating multimodal neuroimaging (e.g., fMRI, DTI) and advanced network analysis are proposed.</w:t>
      </w:r>
    </w:p>
    <w:p w14:paraId="10756931">
      <w:pPr>
        <w:rPr>
          <w:rFonts w:hint="default" w:ascii="Times New Roman Regular" w:hAnsi="Times New Roman Regular" w:cs="Times New Roman Regular"/>
          <w:b/>
          <w:bCs/>
        </w:rPr>
      </w:pPr>
    </w:p>
    <w:p w14:paraId="525CF4A9">
      <w:pPr>
        <w:rPr>
          <w:rFonts w:hint="default" w:ascii="Times New Roman Regular" w:hAnsi="Times New Roman Regular" w:cs="Times New Roman Regular"/>
          <w:b/>
          <w:bCs/>
        </w:rPr>
      </w:pPr>
      <w:r>
        <w:rPr>
          <w:rFonts w:hint="default" w:ascii="Times New Roman Regular" w:hAnsi="Times New Roman Regular" w:cs="Times New Roman Regular"/>
          <w:b/>
          <w:bCs/>
        </w:rPr>
        <w:t>Project management</w:t>
      </w:r>
    </w:p>
    <w:p w14:paraId="51B9C342">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The study was conducted by a multidisciplinary team combining rehabilitation-medicine and biomedical-engineering expertise. Roles and responsibilities were as follows:</w:t>
      </w:r>
    </w:p>
    <w:p w14:paraId="7BE13927">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Yu Pan (Principal Investigator): overall project supervision, methodology refinement, and critical revision of study reports.</w:t>
      </w:r>
    </w:p>
    <w:p w14:paraId="6682C4FE">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Weibei Dou (Co-supervisor, Department of Electronic Engineering, Tsinghua University): project supervision, methodology refinement, and technical oversight of the BCI system and signal processing.</w:t>
      </w:r>
    </w:p>
    <w:p w14:paraId="1EBE76C7">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Xiang Cheng: study conceptualization, EEG/neuroimaging analysis, statistical modeling, and drafting of study reports.</w:t>
      </w:r>
    </w:p>
    <w:p w14:paraId="60CD306F">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Xiangyu Deng: clinical study design, interpretation of clinical findings, and manuscript drafting and revision.</w:t>
      </w:r>
    </w:p>
    <w:p w14:paraId="6469B32E">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Mingchen Zheng: data acquisition and technical support for the image/signal-processing pipeline.</w:t>
      </w:r>
    </w:p>
    <w:p w14:paraId="2F881B3B">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Yun Guo: clinical data collection, lesion segmentation, and data curation.</w:t>
      </w:r>
    </w:p>
    <w:p w14:paraId="04497814">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Run Qiu and Xueyi Ni: clinical data collection.</w:t>
      </w:r>
    </w:p>
    <w:p w14:paraId="7BE9CED0">
      <w:pPr>
        <w:rPr>
          <w:rFonts w:hint="default" w:ascii="Times New Roman Regular" w:hAnsi="Times New Roman Regular" w:cs="Times New Roman Regular"/>
        </w:rPr>
      </w:pPr>
      <w:r>
        <w:rPr>
          <w:rFonts w:hint="default" w:ascii="Times New Roman Regular" w:hAnsi="Times New Roman Regular" w:cs="Times New Roman Regular"/>
        </w:rPr>
        <w:t>(Xiang Cheng and Xiangyu Deng contributed equally to this work.)</w:t>
      </w:r>
    </w:p>
    <w:p w14:paraId="5CA4E843">
      <w:pPr>
        <w:rPr>
          <w:rFonts w:hint="default" w:ascii="Times New Roman Regular" w:hAnsi="Times New Roman Regular" w:cs="Times New Roman Regular"/>
          <w:b/>
          <w:bCs/>
        </w:rPr>
      </w:pPr>
    </w:p>
    <w:p w14:paraId="4CA4964D">
      <w:pPr>
        <w:rPr>
          <w:rFonts w:hint="default" w:ascii="Times New Roman Regular" w:hAnsi="Times New Roman Regular" w:cs="Times New Roman Regular"/>
          <w:b/>
          <w:bCs/>
        </w:rPr>
      </w:pPr>
      <w:r>
        <w:rPr>
          <w:rFonts w:hint="default" w:ascii="Times New Roman Regular" w:hAnsi="Times New Roman Regular" w:cs="Times New Roman Regular"/>
          <w:b/>
          <w:bCs/>
        </w:rPr>
        <w:t>Ethics</w:t>
      </w:r>
    </w:p>
    <w:p w14:paraId="6FF1292D">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This study was approved by the Institutional Ethics Committee of Beijing Tsinghua Changgung Hospital (approval number 23323-0-02) and was conducted in accordance with the Declaration of Helsinki and relevant institutional guidelines. The trial was prospectively registered with the Chinese Clinical Trial Registry (ChiCTR2400079594).</w:t>
      </w:r>
    </w:p>
    <w:p w14:paraId="0213F998">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The principal ethical considerations relate to the use of an active BCI-assisted rehabilitation intervention in patients recovering from stroke, the recording of resting-state EEG, and the collection of clinical and personal data. To address these considerations, eligibility was restricted by predefined inclusion and exclusion criteria (e.g., excluding patients with epilepsy, unstable clinical conditions, or contraindications to EEG); interventions were delivered by trained staff under standard operating procedures; adverse events were systematically monitored and managed, with predefined stopping rules for serious adverse events; and participant confidentiality was protected through coding and de-identification of data.</w:t>
      </w:r>
    </w:p>
    <w:p w14:paraId="2292FE04">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Informed consent process: Written informed consent was obtained from every participant before enrollment. Prospective participants (or their legal representatives, where applicable) were informed of the study’s purpose, procedures, expected duration, potential benefits and risks, the voluntary nature of participation, and their right to withdraw at any time without affecting their routine clinical care. Adequate time was provided for questions before consent was given. Healthy controls provided separate written informed consent for the EEG recording. Participants took part only as study subjects and were not involved in the design, conduct, or reporting of the study.</w:t>
      </w:r>
    </w:p>
    <w:p w14:paraId="28F6000C">
      <w:pPr>
        <w:rPr>
          <w:rFonts w:hint="default" w:ascii="Times New Roman Regular" w:hAnsi="Times New Roman Regular" w:cs="Times New Roman Regular"/>
          <w:b/>
          <w:bCs/>
        </w:rPr>
      </w:pPr>
    </w:p>
    <w:p w14:paraId="2691C20C">
      <w:pPr>
        <w:rPr>
          <w:rFonts w:hint="default" w:ascii="Times New Roman Regular" w:hAnsi="Times New Roman Regular" w:cs="Times New Roman Regular"/>
          <w:b/>
          <w:bCs/>
        </w:rPr>
      </w:pPr>
      <w:r>
        <w:rPr>
          <w:rFonts w:hint="default" w:ascii="Times New Roman Regular" w:hAnsi="Times New Roman Regular" w:cs="Times New Roman Regular"/>
          <w:b/>
          <w:bCs/>
        </w:rPr>
        <w:t>Informed consent forms</w:t>
      </w:r>
    </w:p>
    <w:p w14:paraId="67F98CEE">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Written informed consent forms (ICFs) approved by the Institutional Ethics Committee of Beijing Tsinghua Changgung Hospital were used. Separate, group-specific ICFs were provided: one for stroke participants receiving the intervention and undergoing clinical and EEG assessment, and one for healthy controls undergoing EEG recording only. The ICFs were administered in Chinese (the local language); the approved English-language versions are appended to this protocol, and the Chinese-language versions are available on request. Each ICF describes the study purpose, procedures, duration, potential benefits and risks, data-protection measures, the voluntary nature of participation, and the right to withdraw at any time.</w:t>
      </w:r>
    </w:p>
    <w:p w14:paraId="4F2C5BDF">
      <w:pPr>
        <w:rPr>
          <w:rFonts w:hint="default" w:ascii="Times New Roman Regular" w:hAnsi="Times New Roman Regular" w:cs="Times New Roman Regular"/>
          <w:b/>
          <w:bCs/>
          <w:lang w:val="en-US" w:eastAsia="zh-CN"/>
        </w:rPr>
      </w:pPr>
    </w:p>
    <w:p w14:paraId="01F87ADA">
      <w:pPr>
        <w:rPr>
          <w:rFonts w:hint="default" w:ascii="Times New Roman Regular" w:hAnsi="Times New Roman Regular" w:cs="Times New Roman Regular"/>
          <w:b/>
          <w:bCs/>
        </w:rPr>
      </w:pPr>
      <w:r>
        <w:rPr>
          <w:rFonts w:hint="default" w:ascii="Times New Roman Regular" w:hAnsi="Times New Roman Regular" w:cs="Times New Roman Regular"/>
          <w:b/>
          <w:bCs/>
          <w:lang w:val="en-US" w:eastAsia="zh-CN"/>
        </w:rPr>
        <w:t>Research protocol: part 2</w:t>
      </w:r>
    </w:p>
    <w:p w14:paraId="3A4250CE">
      <w:pPr>
        <w:rPr>
          <w:rFonts w:hint="default" w:ascii="Times New Roman Regular" w:hAnsi="Times New Roman Regular" w:cs="Times New Roman Regular"/>
          <w:b/>
          <w:bCs/>
        </w:rPr>
      </w:pPr>
      <w:r>
        <w:rPr>
          <w:rFonts w:hint="default" w:ascii="Times New Roman Regular" w:hAnsi="Times New Roman Regular" w:cs="Times New Roman Regular"/>
          <w:b/>
          <w:bCs/>
        </w:rPr>
        <w:t>Budget</w:t>
      </w:r>
    </w:p>
    <w:p w14:paraId="1045910E">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 xml:space="preserve">This investigator-initiated academic trial was conducted within the routine clinical and research infrastructure of the Department of Rehabilitation Medicine, Beijing Tsinghua Changgung Hospital, and the Department of Electronic Engineering, Tsinghua University, and was supported by competitive research grants (see Funding). The main budget categories comprised: (i) personnel and research-coordinator time; (ii) the BCI–pneumatic hand rehabilitation system and consumables (EEG electrode caps, electrode gel, and disposables); (iii) EEG acquisition and data-storage/computing resources; (iv) participant-related costs incurred within routine inpatient rehabilitation; and (v) data analysis, publication, and dissemination costs. A detailed item-wise breakdown is maintained in the grant records held by the host institution and can be provided on request. </w:t>
      </w:r>
    </w:p>
    <w:p w14:paraId="625997F7">
      <w:pPr>
        <w:rPr>
          <w:rFonts w:hint="default" w:ascii="Times New Roman Regular" w:hAnsi="Times New Roman Regular" w:cs="Times New Roman Regular"/>
          <w:b/>
          <w:bCs/>
        </w:rPr>
      </w:pPr>
    </w:p>
    <w:p w14:paraId="764B2F47">
      <w:pPr>
        <w:rPr>
          <w:rFonts w:hint="default" w:ascii="Times New Roman Regular" w:hAnsi="Times New Roman Regular" w:cs="Times New Roman Regular"/>
          <w:b/>
          <w:bCs/>
        </w:rPr>
      </w:pPr>
      <w:r>
        <w:rPr>
          <w:rFonts w:hint="default" w:ascii="Times New Roman Regular" w:hAnsi="Times New Roman Regular" w:cs="Times New Roman Regular"/>
          <w:b/>
          <w:bCs/>
        </w:rPr>
        <w:t>Other support for the project</w:t>
      </w:r>
    </w:p>
    <w:p w14:paraId="7A71373A">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This study was supported by the National Clinical Key Specialty Construction Project (XKB2023A2001), the General Program of the National Natural Science Foundation of China (82572934), and the High-Level Innovation Talent Program · Dengfeng Initiative (G202511047). The BCI–pneumatic hand system was developed under the National Key Research and Development Program of China (Project No. 2022YFC3601100). The funders had no role in study design, data collection, analysis, interpretation, or manuscript preparation.</w:t>
      </w:r>
    </w:p>
    <w:p w14:paraId="4A3465FC">
      <w:pPr>
        <w:rPr>
          <w:rFonts w:hint="default" w:ascii="Times New Roman Regular" w:hAnsi="Times New Roman Regular" w:cs="Times New Roman Regular"/>
          <w:b/>
          <w:bCs/>
        </w:rPr>
      </w:pPr>
    </w:p>
    <w:p w14:paraId="57AAC404">
      <w:pPr>
        <w:rPr>
          <w:rFonts w:hint="default" w:ascii="Times New Roman Regular" w:hAnsi="Times New Roman Regular" w:cs="Times New Roman Regular"/>
          <w:b/>
          <w:bCs/>
        </w:rPr>
      </w:pPr>
      <w:r>
        <w:rPr>
          <w:rFonts w:hint="default" w:ascii="Times New Roman Regular" w:hAnsi="Times New Roman Regular" w:cs="Times New Roman Regular"/>
          <w:b/>
          <w:bCs/>
        </w:rPr>
        <w:t>Collaboration with other scientists or research institutions</w:t>
      </w:r>
    </w:p>
    <w:p w14:paraId="0E26E2C4">
      <w:pPr>
        <w:numPr>
          <w:ilvl w:val="0"/>
          <w:numId w:val="1"/>
        </w:numPr>
        <w:ind w:left="420" w:leftChars="0" w:hanging="420" w:firstLineChars="0"/>
        <w:rPr>
          <w:rFonts w:hint="default" w:ascii="Times New Roman Regular" w:hAnsi="Times New Roman Regular" w:cs="Times New Roman Regular"/>
        </w:rPr>
      </w:pPr>
      <w:r>
        <w:rPr>
          <w:rFonts w:hint="default" w:ascii="Times New Roman Regular" w:hAnsi="Times New Roman Regular" w:cs="Times New Roman Regular"/>
        </w:rPr>
        <w:t>This study was conducted through collaboration between the Department of Rehabilitation Medicine, Beijing Tsinghua Changgung Hospital, School of Clinical Medicine, Tsinghua University (clinical design, intervention delivery, and outcome assessment), and the Department of Electronic Engineering, Tsinghua University (brain–computer interface system, EEG signal processing, and quantitative EEG analysis). This clinical–engineering collaboration integrated rehabilitation expertise with neural-engineering and signal-processing capabilities.</w:t>
      </w:r>
    </w:p>
    <w:p w14:paraId="18111E02">
      <w:pPr>
        <w:rPr>
          <w:rFonts w:hint="default" w:ascii="Times New Roman Regular" w:hAnsi="Times New Roman Regular" w:cs="Times New Roman Regular"/>
          <w:b/>
          <w:bCs/>
        </w:rPr>
      </w:pPr>
      <w:r>
        <w:rPr>
          <w:rFonts w:hint="default" w:ascii="Times New Roman Regular" w:hAnsi="Times New Roman Regular" w:cs="Times New Roman Regular"/>
          <w:b/>
          <w:bCs/>
        </w:rPr>
        <w:t>Links to other projects</w:t>
      </w:r>
    </w:p>
    <w:p w14:paraId="32C33783">
      <w:pPr>
        <w:numPr>
          <w:ilvl w:val="0"/>
          <w:numId w:val="1"/>
        </w:numPr>
        <w:ind w:left="420" w:leftChars="0" w:hanging="420" w:firstLineChars="0"/>
        <w:rPr>
          <w:rFonts w:hint="default" w:ascii="Times New Roman Regular" w:hAnsi="Times New Roman Regular" w:cs="Times New Roman Regular"/>
        </w:rPr>
      </w:pPr>
      <w:r>
        <w:rPr>
          <w:rFonts w:hint="default" w:ascii="Times New Roman Regular" w:hAnsi="Times New Roman Regular" w:cs="Times New Roman Regular"/>
        </w:rPr>
        <w:t>The trial is linked to the National Key Research and Development Program of China (Project No. 2022YFC3601100), under which the active BCI–pneumatic hand rehabilitation system used in this study was developed. The study thereby contributes clinical validation to a broader program of neurorehabilitation-technology development.</w:t>
      </w:r>
    </w:p>
    <w:p w14:paraId="447BF850">
      <w:pPr>
        <w:rPr>
          <w:rFonts w:hint="default" w:ascii="Times New Roman Regular" w:hAnsi="Times New Roman Regular" w:cs="Times New Roman Regular"/>
          <w:b/>
          <w:bCs/>
        </w:rPr>
      </w:pPr>
    </w:p>
    <w:p w14:paraId="5D16AC9F">
      <w:pPr>
        <w:rPr>
          <w:rFonts w:hint="default" w:ascii="Times New Roman Regular" w:hAnsi="Times New Roman Regular" w:cs="Times New Roman Regular"/>
          <w:b/>
          <w:bCs/>
        </w:rPr>
      </w:pPr>
      <w:r>
        <w:rPr>
          <w:rFonts w:hint="default" w:ascii="Times New Roman Regular" w:hAnsi="Times New Roman Regular" w:cs="Times New Roman Regular"/>
          <w:b/>
          <w:bCs/>
        </w:rPr>
        <w:t>Curriculum Vitae of investigators</w:t>
      </w:r>
    </w:p>
    <w:p w14:paraId="641C76BB">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Abbreviated curricula vitae (one page each) for the Principal Investigator and each co-investigator are provided as an appendix to this protocol. The Principal Investigator, Yu Pan (MD), is affiliated with the Department of Rehabilitation Medicine, Beijing Tsinghua Changgung Hospital, School of Clinical Medicine, Tsinghua University, with expertise in stroke neurorehabilitation. Co-investigator Weibei Dou is affiliated with the Department of Electronic Engineering, Tsinghua University, with expertise in biomedical signal processing and brain–computer interfaces. Full CVs can be provided on request. [CV appendix to be attached by the applicant.]</w:t>
      </w:r>
    </w:p>
    <w:p w14:paraId="1D3D2B38">
      <w:pPr>
        <w:rPr>
          <w:rFonts w:hint="default" w:ascii="Times New Roman Regular" w:hAnsi="Times New Roman Regular" w:cs="Times New Roman Regular"/>
          <w:b/>
          <w:bCs/>
        </w:rPr>
      </w:pPr>
    </w:p>
    <w:p w14:paraId="514D0537">
      <w:pPr>
        <w:rPr>
          <w:rFonts w:hint="default" w:ascii="Times New Roman Regular" w:hAnsi="Times New Roman Regular" w:cs="Times New Roman Regular"/>
          <w:b/>
          <w:bCs/>
        </w:rPr>
      </w:pPr>
      <w:r>
        <w:rPr>
          <w:rFonts w:hint="default" w:ascii="Times New Roman Regular" w:hAnsi="Times New Roman Regular" w:cs="Times New Roman Regular"/>
          <w:b/>
          <w:bCs/>
        </w:rPr>
        <w:t>Other research activities of the investigators</w:t>
      </w:r>
    </w:p>
    <w:p w14:paraId="0C317E81">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 xml:space="preserve">The investigators are engaged in ongoing research in stroke neurorehabilitation and brain–computer interface technology, including work under the National Key Research and Development Program of China (Project No. 2022YFC3601100) and the grants listed under Funding. </w:t>
      </w:r>
    </w:p>
    <w:p w14:paraId="634C9C0E">
      <w:pPr>
        <w:rPr>
          <w:rFonts w:hint="default" w:ascii="Times New Roman Regular" w:hAnsi="Times New Roman Regular" w:cs="Times New Roman Regular"/>
          <w:b/>
          <w:bCs/>
        </w:rPr>
      </w:pPr>
    </w:p>
    <w:p w14:paraId="7BCA30C1">
      <w:pPr>
        <w:rPr>
          <w:rFonts w:hint="default" w:ascii="Times New Roman Regular" w:hAnsi="Times New Roman Regular" w:cs="Times New Roman Regular"/>
          <w:b/>
          <w:bCs/>
        </w:rPr>
      </w:pPr>
      <w:r>
        <w:rPr>
          <w:rFonts w:hint="default" w:ascii="Times New Roman Regular" w:hAnsi="Times New Roman Regular" w:cs="Times New Roman Regular"/>
          <w:b/>
          <w:bCs/>
        </w:rPr>
        <w:t>Financing and insurance</w:t>
      </w:r>
    </w:p>
    <w:p w14:paraId="54557C3F">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Financing: The study was financed through the competitive research grants listed under Funding; no separate industry sponsorship was involved. All interventions and assessments were delivered within the clinical and research infrastructure of Beijing Tsinghua Changgung Hospital, and participation did not impose additional treatment costs on participants.</w:t>
      </w:r>
    </w:p>
    <w:p w14:paraId="72728D0E">
      <w:pPr>
        <w:ind w:firstLine="420" w:firstLineChars="0"/>
        <w:rPr>
          <w:rFonts w:hint="default" w:ascii="Times New Roman Regular" w:hAnsi="Times New Roman Regular" w:cs="Times New Roman Regular"/>
        </w:rPr>
      </w:pPr>
      <w:r>
        <w:rPr>
          <w:rFonts w:hint="default" w:ascii="Times New Roman Regular" w:hAnsi="Times New Roman Regular" w:cs="Times New Roman Regular"/>
        </w:rPr>
        <w:t>Insurance and participant protection: Participants received care within routine inpatient stroke rehabilitation, and management of any adverse events was covered under the standard clinical-care and institutional arrangements of Beijing Tsinghua Changgung Hospital. Predefined safety monitoring, stopping rules for serious adverse events, and reporting to the Institutional Ethics Committee were in place to protect participants.</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DengXian">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503050405090304"/>
    <w:charset w:val="00"/>
    <w:family w:val="auto"/>
    <w:pitch w:val="default"/>
    <w:sig w:usb0="E0000AFF" w:usb1="00007843" w:usb2="00000001" w:usb3="00000000" w:csb0="400001BF" w:csb1="DF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FD5074"/>
    <w:multiLevelType w:val="singleLevel"/>
    <w:tmpl w:val="BFFD5074"/>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7F8058"/>
    <w:rsid w:val="1EED2173"/>
    <w:rsid w:val="287B626E"/>
    <w:rsid w:val="2C7F8058"/>
    <w:rsid w:val="45FF7033"/>
    <w:rsid w:val="5BF3763B"/>
    <w:rsid w:val="6ABF6E67"/>
    <w:rsid w:val="6E7F5EEE"/>
    <w:rsid w:val="6EFDCAA6"/>
    <w:rsid w:val="777BA70D"/>
    <w:rsid w:val="7797D5EB"/>
    <w:rsid w:val="77E7BE17"/>
    <w:rsid w:val="7B7F0AE8"/>
    <w:rsid w:val="7E7D9E90"/>
    <w:rsid w:val="7EFCF152"/>
    <w:rsid w:val="7FDA2533"/>
    <w:rsid w:val="7FF75B56"/>
    <w:rsid w:val="96F30EDC"/>
    <w:rsid w:val="9E94B636"/>
    <w:rsid w:val="BABF91EE"/>
    <w:rsid w:val="CD897F0B"/>
    <w:rsid w:val="CFFB51A2"/>
    <w:rsid w:val="D5EBA422"/>
    <w:rsid w:val="D6EF37F9"/>
    <w:rsid w:val="DDFF895F"/>
    <w:rsid w:val="DF8DF477"/>
    <w:rsid w:val="EE7BD206"/>
    <w:rsid w:val="EFB7D9C7"/>
    <w:rsid w:val="F5CC3F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annotation text"/>
    <w:basedOn w:val="1"/>
    <w:semiHidden/>
    <w:unhideWhenUsed/>
    <w:uiPriority w:val="99"/>
    <w:pPr>
      <w:jc w:val="left"/>
    </w:p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7">
    <w:name w:val="p1"/>
    <w:basedOn w:val="1"/>
    <w:uiPriority w:val="0"/>
    <w:pPr>
      <w:spacing w:before="100" w:beforeAutospacing="1" w:after="100" w:afterAutospacing="1"/>
    </w:pPr>
  </w:style>
  <w:style w:type="character" w:customStyle="1" w:styleId="8">
    <w:name w:val="s1"/>
    <w:basedOn w:val="6"/>
    <w:uiPriority w:val="0"/>
  </w:style>
  <w:style w:type="paragraph" w:customStyle="1" w:styleId="9">
    <w:name w:val="EndNote Bibliography"/>
    <w:basedOn w:val="1"/>
    <w:qFormat/>
    <w:uiPriority w:val="0"/>
    <w:pPr>
      <w:widowControl w:val="0"/>
      <w:jc w:val="both"/>
    </w:pPr>
    <w:rPr>
      <w:rFonts w:ascii="DengXian" w:hAnsi="DengXian" w:eastAsia="DengXian" w:cstheme="minorBidi"/>
      <w:kern w:val="2"/>
      <w:sz w:val="20"/>
      <w:szCs w:val="22"/>
      <w14:ligatures w14:val="standardContextu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36</TotalTime>
  <ScaleCrop>false</ScaleCrop>
  <LinksUpToDate>false</LinksUpToDate>
  <CharactersWithSpaces>0</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2026-07-08T02:02:00Z</dcterms:created>
  <dc:creator>Dengxy_</dc:creator>
  <cp:lastModifiedBy>Dengxy_</cp:lastModifiedBy>
  <dcterms:modified xsi:type="dcterms:W3CDTF">2026-07-13T23:44:24Z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2052-12.1.23540.23540</vt:lpwstr>
  </property>
  <property fmtid="{D5CDD505-2E9C-101B-9397-08002B2CF9AE}" pid="3" name="ICV">
    <vt:lpwstr>15B884935E6D4E2F245E4C6A8D2384E6_41</vt:lpwstr>
  </property>
</Properties>
</file>