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CB0D"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Appendix 1: Supplementary material</w:t>
      </w:r>
    </w:p>
    <w:p w14:paraId="1AB69EE5" w14:textId="77777777" w:rsidR="00FA7C7D" w:rsidRPr="001B1E6B" w:rsidRDefault="00FA7C7D" w:rsidP="00FA7C7D">
      <w:pPr>
        <w:jc w:val="both"/>
        <w:rPr>
          <w:rFonts w:ascii="Arial" w:hAnsi="Arial" w:cs="Arial"/>
          <w:b/>
          <w:bCs/>
          <w:lang w:val="en-US"/>
        </w:rPr>
      </w:pPr>
    </w:p>
    <w:p w14:paraId="6AFA839E"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Supplementary Methods: Multisite inventory study</w:t>
      </w:r>
    </w:p>
    <w:p w14:paraId="279828BB" w14:textId="77777777" w:rsidR="00FA7C7D" w:rsidRPr="001B1E6B" w:rsidRDefault="00FA7C7D" w:rsidP="00FA7C7D">
      <w:pPr>
        <w:jc w:val="both"/>
        <w:rPr>
          <w:rFonts w:ascii="Arial" w:hAnsi="Arial" w:cs="Arial"/>
          <w:lang w:val="en-US"/>
        </w:rPr>
      </w:pPr>
    </w:p>
    <w:p w14:paraId="135F49CE"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Clinic Recruitment and Participation</w:t>
      </w:r>
    </w:p>
    <w:p w14:paraId="499F1C55" w14:textId="77777777" w:rsidR="00FA7C7D" w:rsidRPr="001B1E6B" w:rsidRDefault="00FA7C7D" w:rsidP="00FA7C7D">
      <w:pPr>
        <w:jc w:val="both"/>
        <w:rPr>
          <w:rFonts w:ascii="Arial" w:hAnsi="Arial" w:cs="Arial"/>
          <w:lang w:val="en-US"/>
        </w:rPr>
      </w:pPr>
      <w:r w:rsidRPr="001B1E6B">
        <w:rPr>
          <w:rFonts w:ascii="Arial" w:hAnsi="Arial" w:cs="Arial"/>
          <w:lang w:val="en-US"/>
        </w:rPr>
        <w:t>An initial list of ibogaine treatment clinics was compiled based on domain knowledge and expanded through additional outreach. Clinics were invited via email to participate in a retrospective data inventory.</w:t>
      </w:r>
    </w:p>
    <w:p w14:paraId="780EC111" w14:textId="77777777" w:rsidR="00FA7C7D" w:rsidRPr="001B1E6B" w:rsidRDefault="00FA7C7D" w:rsidP="00FA7C7D">
      <w:pPr>
        <w:jc w:val="both"/>
        <w:rPr>
          <w:rFonts w:ascii="Arial" w:hAnsi="Arial" w:cs="Arial"/>
          <w:lang w:val="en-US"/>
        </w:rPr>
      </w:pPr>
    </w:p>
    <w:p w14:paraId="6911A15C" w14:textId="77777777" w:rsidR="00FA7C7D" w:rsidRPr="001B1E6B" w:rsidRDefault="00FA7C7D" w:rsidP="00FA7C7D">
      <w:pPr>
        <w:jc w:val="both"/>
        <w:rPr>
          <w:rFonts w:ascii="Arial" w:hAnsi="Arial" w:cs="Arial"/>
          <w:lang w:val="en-US"/>
        </w:rPr>
      </w:pPr>
      <w:r w:rsidRPr="001B1E6B">
        <w:rPr>
          <w:rFonts w:ascii="Arial" w:hAnsi="Arial" w:cs="Arial"/>
          <w:lang w:val="en-US"/>
        </w:rPr>
        <w:t>Of 16 clinics contacted:</w:t>
      </w:r>
    </w:p>
    <w:p w14:paraId="64682DBF" w14:textId="77777777" w:rsidR="00FA7C7D" w:rsidRPr="001B1E6B" w:rsidRDefault="00FA7C7D" w:rsidP="00FA7C7D">
      <w:pPr>
        <w:numPr>
          <w:ilvl w:val="0"/>
          <w:numId w:val="3"/>
        </w:numPr>
        <w:jc w:val="both"/>
        <w:rPr>
          <w:rFonts w:ascii="Arial" w:hAnsi="Arial" w:cs="Arial"/>
          <w:lang w:val="en-US"/>
        </w:rPr>
      </w:pPr>
      <w:r w:rsidRPr="001B1E6B">
        <w:rPr>
          <w:rFonts w:ascii="Arial" w:hAnsi="Arial" w:cs="Arial"/>
          <w:lang w:val="en-US"/>
        </w:rPr>
        <w:t>11 agreed to participate,</w:t>
      </w:r>
    </w:p>
    <w:p w14:paraId="0BAFE4BD" w14:textId="77777777" w:rsidR="00FA7C7D" w:rsidRPr="001B1E6B" w:rsidRDefault="00FA7C7D" w:rsidP="00FA7C7D">
      <w:pPr>
        <w:numPr>
          <w:ilvl w:val="0"/>
          <w:numId w:val="3"/>
        </w:numPr>
        <w:jc w:val="both"/>
        <w:rPr>
          <w:rFonts w:ascii="Arial" w:hAnsi="Arial" w:cs="Arial"/>
          <w:lang w:val="en-US"/>
        </w:rPr>
      </w:pPr>
      <w:r w:rsidRPr="001B1E6B">
        <w:rPr>
          <w:rFonts w:ascii="Arial" w:hAnsi="Arial" w:cs="Arial"/>
          <w:lang w:val="en-US"/>
        </w:rPr>
        <w:t>4 did not respond,</w:t>
      </w:r>
    </w:p>
    <w:p w14:paraId="75E6CCCC" w14:textId="77777777" w:rsidR="00FA7C7D" w:rsidRPr="001B1E6B" w:rsidRDefault="00FA7C7D" w:rsidP="00FA7C7D">
      <w:pPr>
        <w:numPr>
          <w:ilvl w:val="0"/>
          <w:numId w:val="3"/>
        </w:numPr>
        <w:jc w:val="both"/>
        <w:rPr>
          <w:rFonts w:ascii="Arial" w:hAnsi="Arial" w:cs="Arial"/>
          <w:lang w:val="en-US"/>
        </w:rPr>
      </w:pPr>
      <w:r w:rsidRPr="001B1E6B">
        <w:rPr>
          <w:rFonts w:ascii="Arial" w:hAnsi="Arial" w:cs="Arial"/>
          <w:lang w:val="en-US"/>
        </w:rPr>
        <w:t>and 1 was unreachable.</w:t>
      </w:r>
    </w:p>
    <w:p w14:paraId="324B9968" w14:textId="77777777" w:rsidR="00FA7C7D" w:rsidRPr="001B1E6B" w:rsidRDefault="00FA7C7D" w:rsidP="00FA7C7D">
      <w:pPr>
        <w:jc w:val="both"/>
        <w:rPr>
          <w:rFonts w:ascii="Arial" w:hAnsi="Arial" w:cs="Arial"/>
          <w:lang w:val="en-US"/>
        </w:rPr>
      </w:pPr>
    </w:p>
    <w:p w14:paraId="194908D2" w14:textId="77777777" w:rsidR="00FA7C7D" w:rsidRPr="001B1E6B" w:rsidRDefault="00FA7C7D" w:rsidP="00FA7C7D">
      <w:pPr>
        <w:jc w:val="both"/>
        <w:rPr>
          <w:rFonts w:ascii="Arial" w:hAnsi="Arial" w:cs="Arial"/>
          <w:lang w:val="en-US"/>
        </w:rPr>
      </w:pPr>
      <w:r w:rsidRPr="001B1E6B">
        <w:rPr>
          <w:rFonts w:ascii="Arial" w:hAnsi="Arial" w:cs="Arial"/>
          <w:lang w:val="en-US"/>
        </w:rPr>
        <w:t>Participating clinics provided data voluntarily under mutual non-disclosure agreements with author MA. No financial incentives were provided.</w:t>
      </w:r>
    </w:p>
    <w:p w14:paraId="21E41232" w14:textId="77777777" w:rsidR="00FA7C7D" w:rsidRPr="001B1E6B" w:rsidRDefault="00FA7C7D" w:rsidP="00FA7C7D">
      <w:pPr>
        <w:jc w:val="both"/>
        <w:rPr>
          <w:rFonts w:ascii="Arial" w:hAnsi="Arial" w:cs="Arial"/>
          <w:lang w:val="en-US"/>
        </w:rPr>
      </w:pPr>
    </w:p>
    <w:p w14:paraId="459ABA97"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IBO-SAFE Assessment</w:t>
      </w:r>
    </w:p>
    <w:p w14:paraId="5BF5160F" w14:textId="77777777" w:rsidR="00FA7C7D" w:rsidRPr="001B1E6B" w:rsidRDefault="00FA7C7D" w:rsidP="00FA7C7D">
      <w:pPr>
        <w:jc w:val="both"/>
        <w:rPr>
          <w:rFonts w:ascii="Arial" w:hAnsi="Arial" w:cs="Arial"/>
          <w:lang w:val="en-US"/>
        </w:rPr>
      </w:pPr>
      <w:r w:rsidRPr="001B1E6B">
        <w:rPr>
          <w:rFonts w:ascii="Arial" w:hAnsi="Arial" w:cs="Arial"/>
          <w:lang w:val="en-US"/>
        </w:rPr>
        <w:t>Clinic adherence to the Global Ibogaine Safety Guidelines</w:t>
      </w:r>
      <w:sdt>
        <w:sdtPr>
          <w:rPr>
            <w:rFonts w:ascii="Arial" w:hAnsi="Arial" w:cs="Arial"/>
            <w:lang w:val="en-US"/>
          </w:rPr>
          <w:alias w:val="SmartCite Citation"/>
          <w:tag w:val="991a80a9-eecf-474a-993f-09c55a58e6a5:53798765-48a9-4a68-ba76-3b1b54a08a86+"/>
          <w:id w:val="286316733"/>
          <w:placeholder>
            <w:docPart w:val="37DBFEF5DF184A5D9C9E2434BBE00F0B"/>
          </w:placeholder>
        </w:sdtPr>
        <w:sdtContent>
          <w:r w:rsidRPr="00797C14">
            <w:rPr>
              <w:rFonts w:ascii="Arial" w:hAnsi="Arial" w:cs="Arial"/>
              <w:vertAlign w:val="superscript"/>
            </w:rPr>
            <w:t>10</w:t>
          </w:r>
        </w:sdtContent>
      </w:sdt>
      <w:r w:rsidRPr="001B1E6B">
        <w:rPr>
          <w:rFonts w:ascii="Arial" w:hAnsi="Arial" w:cs="Arial"/>
          <w:lang w:val="en-US"/>
        </w:rPr>
        <w:t xml:space="preserve">  was evaluated using a structured checklist (Ibogaine Safety Assessment </w:t>
      </w:r>
      <w:proofErr w:type="gramStart"/>
      <w:r w:rsidRPr="001B1E6B">
        <w:rPr>
          <w:rFonts w:ascii="Arial" w:hAnsi="Arial" w:cs="Arial"/>
          <w:lang w:val="en-US"/>
        </w:rPr>
        <w:t>For</w:t>
      </w:r>
      <w:proofErr w:type="gramEnd"/>
      <w:r w:rsidRPr="001B1E6B">
        <w:rPr>
          <w:rFonts w:ascii="Arial" w:hAnsi="Arial" w:cs="Arial"/>
          <w:lang w:val="en-US"/>
        </w:rPr>
        <w:t xml:space="preserve"> Excellence: IBO-SAFE</w:t>
      </w:r>
      <w:r>
        <w:rPr>
          <w:rFonts w:ascii="Arial" w:hAnsi="Arial" w:cs="Arial"/>
          <w:lang w:val="en-US"/>
        </w:rPr>
        <w:t xml:space="preserve"> </w:t>
      </w:r>
      <w:r w:rsidRPr="001B1E6B">
        <w:rPr>
          <w:rFonts w:ascii="Arial" w:hAnsi="Arial" w:cs="Arial"/>
          <w:lang w:val="en-US"/>
        </w:rPr>
        <w:t>score: Appendix 2), administered during site visits or online meetings as a structured interview.</w:t>
      </w:r>
    </w:p>
    <w:p w14:paraId="645C2A2B" w14:textId="77777777" w:rsidR="00FA7C7D" w:rsidRPr="001B1E6B" w:rsidRDefault="00FA7C7D" w:rsidP="00FA7C7D">
      <w:pPr>
        <w:jc w:val="both"/>
        <w:rPr>
          <w:rFonts w:ascii="Arial" w:hAnsi="Arial" w:cs="Arial"/>
          <w:lang w:val="en-US"/>
        </w:rPr>
      </w:pPr>
    </w:p>
    <w:p w14:paraId="3ECAA2F7" w14:textId="77777777" w:rsidR="00FA7C7D" w:rsidRPr="001B1E6B" w:rsidRDefault="00FA7C7D" w:rsidP="00FA7C7D">
      <w:pPr>
        <w:jc w:val="both"/>
        <w:rPr>
          <w:rFonts w:ascii="Arial" w:hAnsi="Arial" w:cs="Arial"/>
          <w:lang w:val="en-US"/>
        </w:rPr>
      </w:pPr>
      <w:r w:rsidRPr="001B1E6B">
        <w:rPr>
          <w:rFonts w:ascii="Arial" w:hAnsi="Arial" w:cs="Arial"/>
          <w:lang w:val="en-US"/>
        </w:rPr>
        <w:t>The checklist assessed key domains including:</w:t>
      </w:r>
    </w:p>
    <w:p w14:paraId="7EDAB46B"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informed consent procedures,</w:t>
      </w:r>
    </w:p>
    <w:p w14:paraId="27487325"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medical supervision,</w:t>
      </w:r>
    </w:p>
    <w:p w14:paraId="2176191A"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cardiac monitoring,</w:t>
      </w:r>
    </w:p>
    <w:p w14:paraId="4AADB8EF"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pre-treatment screening (ECG, laboratory testing),</w:t>
      </w:r>
    </w:p>
    <w:p w14:paraId="059C9566"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exclusion criteria,</w:t>
      </w:r>
    </w:p>
    <w:p w14:paraId="631C2519" w14:textId="77777777" w:rsidR="00FA7C7D" w:rsidRPr="001B1E6B" w:rsidRDefault="00FA7C7D" w:rsidP="00FA7C7D">
      <w:pPr>
        <w:numPr>
          <w:ilvl w:val="0"/>
          <w:numId w:val="4"/>
        </w:numPr>
        <w:jc w:val="both"/>
        <w:rPr>
          <w:rFonts w:ascii="Arial" w:hAnsi="Arial" w:cs="Arial"/>
          <w:lang w:val="en-US"/>
        </w:rPr>
      </w:pPr>
      <w:r w:rsidRPr="001B1E6B">
        <w:rPr>
          <w:rFonts w:ascii="Arial" w:hAnsi="Arial" w:cs="Arial"/>
          <w:lang w:val="en-US"/>
        </w:rPr>
        <w:t>and emergency preparedness.</w:t>
      </w:r>
    </w:p>
    <w:p w14:paraId="49C80F04" w14:textId="77777777" w:rsidR="00FA7C7D" w:rsidRPr="001B1E6B" w:rsidRDefault="00FA7C7D" w:rsidP="00FA7C7D">
      <w:pPr>
        <w:jc w:val="both"/>
        <w:rPr>
          <w:rFonts w:ascii="Arial" w:hAnsi="Arial" w:cs="Arial"/>
          <w:lang w:val="en-US"/>
        </w:rPr>
      </w:pPr>
    </w:p>
    <w:p w14:paraId="1AF4EB9D" w14:textId="77777777" w:rsidR="00FA7C7D" w:rsidRPr="001B1E6B" w:rsidRDefault="00FA7C7D" w:rsidP="00FA7C7D">
      <w:pPr>
        <w:jc w:val="both"/>
        <w:rPr>
          <w:rFonts w:ascii="Arial" w:hAnsi="Arial" w:cs="Arial"/>
          <w:lang w:val="en-US"/>
        </w:rPr>
      </w:pPr>
      <w:r w:rsidRPr="001B1E6B">
        <w:rPr>
          <w:rFonts w:ascii="Arial" w:hAnsi="Arial" w:cs="Arial"/>
          <w:lang w:val="en-US"/>
        </w:rPr>
        <w:t>Scores were normalized to a 0–10 scale, with higher scores indicating greater adherence.</w:t>
      </w:r>
    </w:p>
    <w:p w14:paraId="40FFB3BC" w14:textId="77777777" w:rsidR="00FA7C7D" w:rsidRPr="001B1E6B" w:rsidRDefault="00FA7C7D" w:rsidP="00FA7C7D">
      <w:pPr>
        <w:jc w:val="both"/>
        <w:rPr>
          <w:rFonts w:ascii="Arial" w:hAnsi="Arial" w:cs="Arial"/>
          <w:lang w:val="en-US"/>
        </w:rPr>
      </w:pPr>
    </w:p>
    <w:p w14:paraId="2C9F1B00"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Data Collection Procedures</w:t>
      </w:r>
    </w:p>
    <w:p w14:paraId="6EDB9175" w14:textId="77777777" w:rsidR="00FA7C7D" w:rsidRPr="001B1E6B" w:rsidRDefault="00FA7C7D" w:rsidP="00FA7C7D">
      <w:pPr>
        <w:jc w:val="both"/>
        <w:rPr>
          <w:rFonts w:ascii="Arial" w:hAnsi="Arial" w:cs="Arial"/>
          <w:lang w:val="en-US"/>
        </w:rPr>
      </w:pPr>
      <w:r w:rsidRPr="001B1E6B">
        <w:rPr>
          <w:rFonts w:ascii="Arial" w:hAnsi="Arial" w:cs="Arial"/>
          <w:lang w:val="en-US"/>
        </w:rPr>
        <w:t>Clinics were asked to extract data from internal records for the period 2016–2026 (or earlier where available). Data were reported in aggregated form and included:</w:t>
      </w:r>
    </w:p>
    <w:p w14:paraId="78683A20" w14:textId="77777777" w:rsidR="00FA7C7D" w:rsidRPr="001B1E6B" w:rsidRDefault="00FA7C7D" w:rsidP="00FA7C7D">
      <w:pPr>
        <w:numPr>
          <w:ilvl w:val="0"/>
          <w:numId w:val="5"/>
        </w:numPr>
        <w:jc w:val="both"/>
        <w:rPr>
          <w:rFonts w:ascii="Arial" w:hAnsi="Arial" w:cs="Arial"/>
          <w:lang w:val="en-US"/>
        </w:rPr>
      </w:pPr>
      <w:r w:rsidRPr="001B1E6B">
        <w:rPr>
          <w:rFonts w:ascii="Arial" w:hAnsi="Arial" w:cs="Arial"/>
          <w:lang w:val="en-US"/>
        </w:rPr>
        <w:t>total number of treated patients (unique individuals),</w:t>
      </w:r>
    </w:p>
    <w:p w14:paraId="518ACAF2" w14:textId="77777777" w:rsidR="00FA7C7D" w:rsidRPr="001B1E6B" w:rsidRDefault="00FA7C7D" w:rsidP="00FA7C7D">
      <w:pPr>
        <w:numPr>
          <w:ilvl w:val="0"/>
          <w:numId w:val="5"/>
        </w:numPr>
        <w:jc w:val="both"/>
        <w:rPr>
          <w:rFonts w:ascii="Arial" w:hAnsi="Arial" w:cs="Arial"/>
          <w:lang w:val="en-US"/>
        </w:rPr>
      </w:pPr>
      <w:r w:rsidRPr="001B1E6B">
        <w:rPr>
          <w:rFonts w:ascii="Arial" w:hAnsi="Arial" w:cs="Arial"/>
          <w:lang w:val="en-US"/>
        </w:rPr>
        <w:t>number of deaths within 72 hours after ibogaine administration,</w:t>
      </w:r>
    </w:p>
    <w:p w14:paraId="5498805A" w14:textId="77777777" w:rsidR="00FA7C7D" w:rsidRPr="001B1E6B" w:rsidRDefault="00FA7C7D" w:rsidP="00FA7C7D">
      <w:pPr>
        <w:numPr>
          <w:ilvl w:val="0"/>
          <w:numId w:val="5"/>
        </w:numPr>
        <w:jc w:val="both"/>
        <w:rPr>
          <w:rFonts w:ascii="Arial" w:hAnsi="Arial" w:cs="Arial"/>
          <w:lang w:val="en-US"/>
        </w:rPr>
      </w:pPr>
      <w:r w:rsidRPr="001B1E6B">
        <w:rPr>
          <w:rFonts w:ascii="Arial" w:hAnsi="Arial" w:cs="Arial"/>
          <w:lang w:val="en-US"/>
        </w:rPr>
        <w:t>number of seizures within 72 hours,</w:t>
      </w:r>
    </w:p>
    <w:p w14:paraId="7980DFBF" w14:textId="77777777" w:rsidR="00FA7C7D" w:rsidRPr="001B1E6B" w:rsidRDefault="00FA7C7D" w:rsidP="00FA7C7D">
      <w:pPr>
        <w:numPr>
          <w:ilvl w:val="0"/>
          <w:numId w:val="5"/>
        </w:numPr>
        <w:jc w:val="both"/>
        <w:rPr>
          <w:rFonts w:ascii="Arial" w:hAnsi="Arial" w:cs="Arial"/>
          <w:lang w:val="en-US"/>
        </w:rPr>
      </w:pPr>
      <w:r w:rsidRPr="001B1E6B">
        <w:rPr>
          <w:rFonts w:ascii="Arial" w:hAnsi="Arial" w:cs="Arial"/>
          <w:lang w:val="en-US"/>
        </w:rPr>
        <w:t>proportion of SUD versus non-SUD indications,</w:t>
      </w:r>
    </w:p>
    <w:p w14:paraId="6014A788" w14:textId="77777777" w:rsidR="00FA7C7D" w:rsidRPr="001B1E6B" w:rsidRDefault="00FA7C7D" w:rsidP="00FA7C7D">
      <w:pPr>
        <w:numPr>
          <w:ilvl w:val="0"/>
          <w:numId w:val="5"/>
        </w:numPr>
        <w:jc w:val="both"/>
        <w:rPr>
          <w:rFonts w:ascii="Arial" w:hAnsi="Arial" w:cs="Arial"/>
          <w:lang w:val="en-US"/>
        </w:rPr>
      </w:pPr>
      <w:r w:rsidRPr="001B1E6B">
        <w:rPr>
          <w:rFonts w:ascii="Arial" w:hAnsi="Arial" w:cs="Arial"/>
          <w:lang w:val="en-US"/>
        </w:rPr>
        <w:t>and summary descriptions of serious adverse events.</w:t>
      </w:r>
    </w:p>
    <w:p w14:paraId="136C0412" w14:textId="77777777" w:rsidR="00FA7C7D" w:rsidRPr="001B1E6B" w:rsidRDefault="00FA7C7D" w:rsidP="00FA7C7D">
      <w:pPr>
        <w:jc w:val="both"/>
        <w:rPr>
          <w:rFonts w:ascii="Arial" w:hAnsi="Arial" w:cs="Arial"/>
          <w:lang w:val="en-US"/>
        </w:rPr>
      </w:pPr>
    </w:p>
    <w:p w14:paraId="31E4DD17" w14:textId="77777777" w:rsidR="00FA7C7D" w:rsidRPr="001B1E6B" w:rsidRDefault="00FA7C7D" w:rsidP="00FA7C7D">
      <w:pPr>
        <w:jc w:val="both"/>
        <w:rPr>
          <w:rFonts w:ascii="Arial" w:hAnsi="Arial" w:cs="Arial"/>
          <w:lang w:val="en-US"/>
        </w:rPr>
      </w:pPr>
      <w:r w:rsidRPr="001B1E6B">
        <w:rPr>
          <w:rFonts w:ascii="Arial" w:hAnsi="Arial" w:cs="Arial"/>
          <w:lang w:val="en-US"/>
        </w:rPr>
        <w:t>Fatalities were reported based on clinic records and internal review procedures. No external verification or adjudication was performed.</w:t>
      </w:r>
    </w:p>
    <w:p w14:paraId="340277D3" w14:textId="77777777" w:rsidR="00FA7C7D" w:rsidRPr="001B1E6B" w:rsidRDefault="00FA7C7D" w:rsidP="00FA7C7D">
      <w:pPr>
        <w:jc w:val="both"/>
        <w:rPr>
          <w:rFonts w:ascii="Arial" w:hAnsi="Arial" w:cs="Arial"/>
          <w:lang w:val="en-US"/>
        </w:rPr>
      </w:pPr>
    </w:p>
    <w:p w14:paraId="5DBBA388"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Seizure Outcome</w:t>
      </w:r>
    </w:p>
    <w:p w14:paraId="027D75FF" w14:textId="77777777" w:rsidR="00FA7C7D" w:rsidRPr="001B1E6B" w:rsidRDefault="00FA7C7D" w:rsidP="00FA7C7D">
      <w:pPr>
        <w:jc w:val="both"/>
        <w:rPr>
          <w:rFonts w:ascii="Arial" w:hAnsi="Arial" w:cs="Arial"/>
          <w:lang w:val="en-US"/>
        </w:rPr>
      </w:pPr>
      <w:r w:rsidRPr="001B1E6B">
        <w:rPr>
          <w:rFonts w:ascii="Arial" w:hAnsi="Arial" w:cs="Arial"/>
          <w:lang w:val="en-US"/>
        </w:rPr>
        <w:t>Seizures were defined as any clinically observed seizure occurring during or within 72 hours after ibogaine administration.</w:t>
      </w:r>
    </w:p>
    <w:p w14:paraId="22246618" w14:textId="77777777" w:rsidR="00FA7C7D" w:rsidRPr="001B1E6B" w:rsidRDefault="00FA7C7D" w:rsidP="00FA7C7D">
      <w:pPr>
        <w:jc w:val="both"/>
        <w:rPr>
          <w:rFonts w:ascii="Arial" w:hAnsi="Arial" w:cs="Arial"/>
          <w:lang w:val="en-US"/>
        </w:rPr>
      </w:pPr>
    </w:p>
    <w:p w14:paraId="696D71DF" w14:textId="77777777" w:rsidR="00FA7C7D" w:rsidRPr="001B1E6B" w:rsidRDefault="00FA7C7D" w:rsidP="00FA7C7D">
      <w:pPr>
        <w:jc w:val="both"/>
        <w:rPr>
          <w:rFonts w:ascii="Arial" w:hAnsi="Arial" w:cs="Arial"/>
          <w:lang w:val="en-US"/>
        </w:rPr>
      </w:pPr>
      <w:r w:rsidRPr="001B1E6B">
        <w:rPr>
          <w:rFonts w:ascii="Arial" w:hAnsi="Arial" w:cs="Arial"/>
          <w:lang w:val="en-US"/>
        </w:rPr>
        <w:lastRenderedPageBreak/>
        <w:t>Reported seizure cases were accompanied by brief contextual descriptions when available, including potential contributing factors.</w:t>
      </w:r>
    </w:p>
    <w:p w14:paraId="26B66FF9" w14:textId="77777777" w:rsidR="00FA7C7D" w:rsidRPr="001B1E6B" w:rsidRDefault="00FA7C7D" w:rsidP="00FA7C7D">
      <w:pPr>
        <w:jc w:val="both"/>
        <w:rPr>
          <w:rFonts w:ascii="Arial" w:hAnsi="Arial" w:cs="Arial"/>
          <w:lang w:val="en-US"/>
        </w:rPr>
      </w:pPr>
    </w:p>
    <w:p w14:paraId="3FF275E1"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Supplementary methods: Systematic Review</w:t>
      </w:r>
    </w:p>
    <w:p w14:paraId="53A10B15" w14:textId="77777777" w:rsidR="00FA7C7D" w:rsidRPr="001B1E6B" w:rsidRDefault="00FA7C7D" w:rsidP="00FA7C7D">
      <w:pPr>
        <w:jc w:val="both"/>
        <w:rPr>
          <w:rFonts w:ascii="Arial" w:hAnsi="Arial" w:cs="Arial"/>
          <w:b/>
          <w:bCs/>
          <w:lang w:val="en-US"/>
        </w:rPr>
      </w:pPr>
    </w:p>
    <w:p w14:paraId="6433165E"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Search Strategy and Case Identification</w:t>
      </w:r>
    </w:p>
    <w:p w14:paraId="16EE0A03"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To extend previously published fatality inventories </w:t>
      </w:r>
      <w:sdt>
        <w:sdtPr>
          <w:rPr>
            <w:rFonts w:ascii="Arial" w:hAnsi="Arial" w:cs="Arial"/>
            <w:lang w:val="en-US"/>
          </w:rPr>
          <w:alias w:val="SmartCite Citation"/>
          <w:tag w:val="991a80a9-eecf-474a-993f-09c55a58e6a5:012dd5ad-082c-4c9f-a8d3-d12021d177f9,991a80a9-eecf-474a-993f-09c55a58e6a5:884b7ea4-f699-4003-8de4-76eae4db8f49+"/>
          <w:id w:val="-1346621654"/>
          <w:placeholder>
            <w:docPart w:val="37DBFEF5DF184A5D9C9E2434BBE00F0B"/>
          </w:placeholder>
        </w:sdtPr>
        <w:sdtContent>
          <w:r w:rsidRPr="00797C14">
            <w:rPr>
              <w:rFonts w:ascii="Arial" w:hAnsi="Arial" w:cs="Arial"/>
              <w:vertAlign w:val="superscript"/>
            </w:rPr>
            <w:t>8,9</w:t>
          </w:r>
        </w:sdtContent>
      </w:sdt>
      <w:r w:rsidRPr="001B1E6B">
        <w:rPr>
          <w:rFonts w:ascii="Arial" w:hAnsi="Arial" w:cs="Arial"/>
          <w:lang w:val="en-US"/>
        </w:rPr>
        <w:t xml:space="preserve">, systematic searches were conducted in PubMed using the keywords “ibogaine,” “iboga,” “fatality,” and “death.” Searches included all records available up to April 9, </w:t>
      </w:r>
      <w:proofErr w:type="gramStart"/>
      <w:r w:rsidRPr="001B1E6B">
        <w:rPr>
          <w:rFonts w:ascii="Arial" w:hAnsi="Arial" w:cs="Arial"/>
          <w:lang w:val="en-US"/>
        </w:rPr>
        <w:t>2026</w:t>
      </w:r>
      <w:proofErr w:type="gramEnd"/>
      <w:r w:rsidRPr="001B1E6B">
        <w:rPr>
          <w:rFonts w:ascii="Arial" w:hAnsi="Arial" w:cs="Arial"/>
          <w:lang w:val="en-US"/>
        </w:rPr>
        <w:t xml:space="preserve"> and yielded 67 records, of which 24 since the Corkery </w:t>
      </w:r>
      <w:sdt>
        <w:sdtPr>
          <w:rPr>
            <w:rFonts w:ascii="Arial" w:hAnsi="Arial" w:cs="Arial"/>
            <w:lang w:val="en-US"/>
          </w:rPr>
          <w:alias w:val="SmartCite Citation"/>
          <w:tag w:val="991a80a9-eecf-474a-993f-09c55a58e6a5:884b7ea4-f699-4003-8de4-76eae4db8f49+"/>
          <w:id w:val="-430279622"/>
          <w:placeholder>
            <w:docPart w:val="37DBFEF5DF184A5D9C9E2434BBE00F0B"/>
          </w:placeholder>
        </w:sdtPr>
        <w:sdtContent>
          <w:r w:rsidRPr="00797C14">
            <w:rPr>
              <w:rFonts w:ascii="Arial" w:hAnsi="Arial" w:cs="Arial"/>
              <w:vertAlign w:val="superscript"/>
            </w:rPr>
            <w:t>9</w:t>
          </w:r>
        </w:sdtContent>
      </w:sdt>
      <w:r w:rsidRPr="001B1E6B">
        <w:rPr>
          <w:rFonts w:ascii="Arial" w:hAnsi="Arial" w:cs="Arial"/>
          <w:lang w:val="en-US"/>
        </w:rPr>
        <w:t>  publication.</w:t>
      </w:r>
    </w:p>
    <w:p w14:paraId="4502E437" w14:textId="77777777" w:rsidR="00FA7C7D" w:rsidRPr="001B1E6B" w:rsidRDefault="00FA7C7D" w:rsidP="00FA7C7D">
      <w:pPr>
        <w:jc w:val="both"/>
        <w:rPr>
          <w:rFonts w:ascii="Arial" w:hAnsi="Arial" w:cs="Arial"/>
          <w:lang w:val="en-US"/>
        </w:rPr>
      </w:pPr>
    </w:p>
    <w:p w14:paraId="1AF9E4A1" w14:textId="77777777" w:rsidR="00FA7C7D" w:rsidRPr="001B1E6B" w:rsidRDefault="00FA7C7D" w:rsidP="00FA7C7D">
      <w:pPr>
        <w:jc w:val="both"/>
        <w:rPr>
          <w:rFonts w:ascii="Arial" w:hAnsi="Arial" w:cs="Arial"/>
          <w:lang w:val="en-US"/>
        </w:rPr>
      </w:pPr>
      <w:r w:rsidRPr="001B1E6B">
        <w:rPr>
          <w:rFonts w:ascii="Arial" w:hAnsi="Arial" w:cs="Arial"/>
          <w:lang w:val="en-US"/>
        </w:rPr>
        <w:t>In addition, structured searches of grey literature were performed using publicly accessible online sources such as Google, including media reports, legal documents, and other non-indexed materials. To enhance coverage of non-English sources, supplementary search strategies were applied using multilingual queries across major world languages. All obtained sources were screened for further references to other sources or literature (e.g. cross-checking reference lists).</w:t>
      </w:r>
    </w:p>
    <w:p w14:paraId="7FC4B55F" w14:textId="77777777" w:rsidR="00FA7C7D" w:rsidRPr="001B1E6B" w:rsidRDefault="00FA7C7D" w:rsidP="00FA7C7D">
      <w:pPr>
        <w:jc w:val="both"/>
        <w:rPr>
          <w:rFonts w:ascii="Arial" w:hAnsi="Arial" w:cs="Arial"/>
          <w:lang w:val="en-US"/>
        </w:rPr>
      </w:pPr>
    </w:p>
    <w:p w14:paraId="386F0941" w14:textId="77777777" w:rsidR="00FA7C7D" w:rsidRPr="001B1E6B" w:rsidRDefault="00FA7C7D" w:rsidP="00FA7C7D">
      <w:pPr>
        <w:jc w:val="both"/>
        <w:rPr>
          <w:rFonts w:ascii="Arial" w:hAnsi="Arial" w:cs="Arial"/>
          <w:lang w:val="en-US"/>
        </w:rPr>
      </w:pPr>
      <w:r w:rsidRPr="001B1E6B">
        <w:rPr>
          <w:rFonts w:ascii="Arial" w:hAnsi="Arial" w:cs="Arial"/>
          <w:lang w:val="en-US"/>
        </w:rPr>
        <w:t>All identified cases were screened for relevance based on the presence of reported ibogaine exposure and death occurring within 72 hours. No restrictions were applied with respect to geographic location, treatment context (clinical or non-clinical), or causal attribution.</w:t>
      </w:r>
    </w:p>
    <w:p w14:paraId="16C2D350" w14:textId="77777777" w:rsidR="00FA7C7D" w:rsidRPr="001B1E6B" w:rsidRDefault="00FA7C7D" w:rsidP="00FA7C7D">
      <w:pPr>
        <w:jc w:val="both"/>
        <w:rPr>
          <w:rFonts w:ascii="Arial" w:hAnsi="Arial" w:cs="Arial"/>
          <w:lang w:val="en-US"/>
        </w:rPr>
      </w:pPr>
    </w:p>
    <w:p w14:paraId="4B316F97"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De-duplication and Cross-Referencing</w:t>
      </w:r>
    </w:p>
    <w:p w14:paraId="4292D14B" w14:textId="77777777" w:rsidR="00FA7C7D" w:rsidRPr="001B1E6B" w:rsidRDefault="00FA7C7D" w:rsidP="00FA7C7D">
      <w:pPr>
        <w:jc w:val="both"/>
        <w:rPr>
          <w:rFonts w:ascii="Arial" w:hAnsi="Arial" w:cs="Arial"/>
          <w:lang w:val="en-US"/>
        </w:rPr>
      </w:pPr>
      <w:r w:rsidRPr="001B1E6B">
        <w:rPr>
          <w:rFonts w:ascii="Arial" w:hAnsi="Arial" w:cs="Arial"/>
          <w:lang w:val="en-US"/>
        </w:rPr>
        <w:t>Given the heterogeneous nature of sources, extensive de-duplication procedures were performed. Cases were cross-referenced across:</w:t>
      </w:r>
    </w:p>
    <w:p w14:paraId="1573F122" w14:textId="77777777" w:rsidR="00FA7C7D" w:rsidRPr="001B1E6B" w:rsidRDefault="00FA7C7D" w:rsidP="00FA7C7D">
      <w:pPr>
        <w:numPr>
          <w:ilvl w:val="0"/>
          <w:numId w:val="1"/>
        </w:numPr>
        <w:jc w:val="both"/>
        <w:rPr>
          <w:rFonts w:ascii="Arial" w:hAnsi="Arial" w:cs="Arial"/>
          <w:lang w:val="en-US"/>
        </w:rPr>
      </w:pPr>
      <w:r w:rsidRPr="001B1E6B">
        <w:rPr>
          <w:rFonts w:ascii="Arial" w:hAnsi="Arial" w:cs="Arial"/>
          <w:lang w:val="en-US"/>
        </w:rPr>
        <w:t xml:space="preserve">previously published inventories </w:t>
      </w:r>
      <w:sdt>
        <w:sdtPr>
          <w:rPr>
            <w:rFonts w:ascii="Arial" w:hAnsi="Arial" w:cs="Arial"/>
            <w:lang w:val="en-US"/>
          </w:rPr>
          <w:alias w:val="SmartCite Citation"/>
          <w:tag w:val="991a80a9-eecf-474a-993f-09c55a58e6a5:012dd5ad-082c-4c9f-a8d3-d12021d177f9,991a80a9-eecf-474a-993f-09c55a58e6a5:884b7ea4-f699-4003-8de4-76eae4db8f49+"/>
          <w:id w:val="1861778941"/>
          <w:placeholder>
            <w:docPart w:val="37DBFEF5DF184A5D9C9E2434BBE00F0B"/>
          </w:placeholder>
        </w:sdtPr>
        <w:sdtContent>
          <w:r w:rsidRPr="00797C14">
            <w:rPr>
              <w:rFonts w:ascii="Arial" w:hAnsi="Arial" w:cs="Arial"/>
              <w:vertAlign w:val="superscript"/>
            </w:rPr>
            <w:t>8,9</w:t>
          </w:r>
        </w:sdtContent>
      </w:sdt>
      <w:r w:rsidRPr="001B1E6B">
        <w:rPr>
          <w:rFonts w:ascii="Arial" w:hAnsi="Arial" w:cs="Arial"/>
          <w:lang w:val="en-US"/>
        </w:rPr>
        <w:t>,</w:t>
      </w:r>
    </w:p>
    <w:p w14:paraId="1BF65263" w14:textId="77777777" w:rsidR="00FA7C7D" w:rsidRPr="001B1E6B" w:rsidRDefault="00FA7C7D" w:rsidP="00FA7C7D">
      <w:pPr>
        <w:numPr>
          <w:ilvl w:val="0"/>
          <w:numId w:val="1"/>
        </w:numPr>
        <w:jc w:val="both"/>
        <w:rPr>
          <w:rFonts w:ascii="Arial" w:hAnsi="Arial" w:cs="Arial"/>
          <w:lang w:val="en-US"/>
        </w:rPr>
      </w:pPr>
      <w:r w:rsidRPr="001B1E6B">
        <w:rPr>
          <w:rFonts w:ascii="Arial" w:hAnsi="Arial" w:cs="Arial"/>
          <w:lang w:val="en-US"/>
        </w:rPr>
        <w:t>bibliographic databases,</w:t>
      </w:r>
    </w:p>
    <w:p w14:paraId="53C359CF" w14:textId="77777777" w:rsidR="00FA7C7D" w:rsidRPr="001B1E6B" w:rsidRDefault="00FA7C7D" w:rsidP="00FA7C7D">
      <w:pPr>
        <w:numPr>
          <w:ilvl w:val="0"/>
          <w:numId w:val="1"/>
        </w:numPr>
        <w:jc w:val="both"/>
        <w:rPr>
          <w:rFonts w:ascii="Arial" w:hAnsi="Arial" w:cs="Arial"/>
          <w:lang w:val="en-US"/>
        </w:rPr>
      </w:pPr>
      <w:r w:rsidRPr="001B1E6B">
        <w:rPr>
          <w:rFonts w:ascii="Arial" w:hAnsi="Arial" w:cs="Arial"/>
          <w:lang w:val="en-US"/>
        </w:rPr>
        <w:t>grey literature sources,</w:t>
      </w:r>
    </w:p>
    <w:p w14:paraId="08593CBC" w14:textId="77777777" w:rsidR="00FA7C7D" w:rsidRPr="001B1E6B" w:rsidRDefault="00FA7C7D" w:rsidP="00FA7C7D">
      <w:pPr>
        <w:numPr>
          <w:ilvl w:val="0"/>
          <w:numId w:val="1"/>
        </w:numPr>
        <w:jc w:val="both"/>
        <w:rPr>
          <w:rFonts w:ascii="Arial" w:hAnsi="Arial" w:cs="Arial"/>
          <w:lang w:val="en-US"/>
        </w:rPr>
      </w:pPr>
      <w:r w:rsidRPr="001B1E6B">
        <w:rPr>
          <w:rFonts w:ascii="Arial" w:hAnsi="Arial" w:cs="Arial"/>
          <w:lang w:val="en-US"/>
        </w:rPr>
        <w:t xml:space="preserve">and the </w:t>
      </w:r>
      <w:proofErr w:type="spellStart"/>
      <w:r w:rsidRPr="001B1E6B">
        <w:rPr>
          <w:rFonts w:ascii="Arial" w:hAnsi="Arial" w:cs="Arial"/>
          <w:lang w:val="en-US"/>
        </w:rPr>
        <w:t>IbogaineVault</w:t>
      </w:r>
      <w:proofErr w:type="spellEnd"/>
      <w:r w:rsidRPr="001B1E6B">
        <w:rPr>
          <w:rFonts w:ascii="Arial" w:hAnsi="Arial" w:cs="Arial"/>
          <w:lang w:val="en-US"/>
        </w:rPr>
        <w:t xml:space="preserve"> database </w:t>
      </w:r>
      <w:sdt>
        <w:sdtPr>
          <w:rPr>
            <w:rFonts w:ascii="Arial" w:hAnsi="Arial" w:cs="Arial"/>
            <w:lang w:val="en-US"/>
          </w:rPr>
          <w:alias w:val="SmartCite Citation"/>
          <w:tag w:val="991a80a9-eecf-474a-993f-09c55a58e6a5:80a7b9bf-8859-44e9-973c-53e110c1229e+"/>
          <w:id w:val="-1630011680"/>
          <w:placeholder>
            <w:docPart w:val="37DBFEF5DF184A5D9C9E2434BBE00F0B"/>
          </w:placeholder>
        </w:sdtPr>
        <w:sdtContent>
          <w:r w:rsidRPr="00797C14">
            <w:rPr>
              <w:rFonts w:ascii="Arial" w:hAnsi="Arial" w:cs="Arial"/>
              <w:vertAlign w:val="superscript"/>
            </w:rPr>
            <w:t>17</w:t>
          </w:r>
        </w:sdtContent>
      </w:sdt>
      <w:r w:rsidRPr="001B1E6B">
        <w:rPr>
          <w:rFonts w:ascii="Arial" w:hAnsi="Arial" w:cs="Arial"/>
          <w:lang w:val="en-US"/>
        </w:rPr>
        <w:t>, a curated repository of approximately 290 ibogaine-related publications and documents (1957–2026).</w:t>
      </w:r>
    </w:p>
    <w:p w14:paraId="627BA64D" w14:textId="77777777" w:rsidR="00FA7C7D" w:rsidRPr="001B1E6B" w:rsidRDefault="00FA7C7D" w:rsidP="00FA7C7D">
      <w:pPr>
        <w:jc w:val="both"/>
        <w:rPr>
          <w:rFonts w:ascii="Arial" w:hAnsi="Arial" w:cs="Arial"/>
          <w:lang w:val="en-US"/>
        </w:rPr>
      </w:pPr>
    </w:p>
    <w:p w14:paraId="3CA7C60B" w14:textId="77777777" w:rsidR="00FA7C7D" w:rsidRPr="001B1E6B" w:rsidRDefault="00FA7C7D" w:rsidP="00FA7C7D">
      <w:pPr>
        <w:jc w:val="both"/>
        <w:rPr>
          <w:rFonts w:ascii="Arial" w:hAnsi="Arial" w:cs="Arial"/>
          <w:lang w:val="en-US"/>
        </w:rPr>
      </w:pPr>
      <w:r w:rsidRPr="001B1E6B">
        <w:rPr>
          <w:rFonts w:ascii="Arial" w:hAnsi="Arial" w:cs="Arial"/>
          <w:lang w:val="en-US"/>
        </w:rPr>
        <w:t>Potential duplicates were resolved by comparing demographic characteristics, dates, locations, and narrative descriptions of events. Where multiple reports referred to the same case, all sources were retained for documentation but counted as a single event. Updates made to prior cases from Alper</w:t>
      </w:r>
      <w:sdt>
        <w:sdtPr>
          <w:rPr>
            <w:rFonts w:ascii="Arial" w:hAnsi="Arial" w:cs="Arial"/>
            <w:lang w:val="en-US"/>
          </w:rPr>
          <w:alias w:val="SmartCite Citation"/>
          <w:tag w:val="991a80a9-eecf-474a-993f-09c55a58e6a5:012dd5ad-082c-4c9f-a8d3-d12021d177f9+"/>
          <w:id w:val="1097759299"/>
          <w:placeholder>
            <w:docPart w:val="37DBFEF5DF184A5D9C9E2434BBE00F0B"/>
          </w:placeholder>
        </w:sdtPr>
        <w:sdtContent>
          <w:r w:rsidRPr="00797C14">
            <w:rPr>
              <w:rFonts w:ascii="Arial" w:hAnsi="Arial" w:cs="Arial"/>
              <w:vertAlign w:val="superscript"/>
            </w:rPr>
            <w:t>8</w:t>
          </w:r>
        </w:sdtContent>
      </w:sdt>
      <w:r w:rsidRPr="001B1E6B">
        <w:rPr>
          <w:rFonts w:ascii="Arial" w:hAnsi="Arial" w:cs="Arial"/>
          <w:lang w:val="en-US"/>
        </w:rPr>
        <w:t>  and Corkery</w:t>
      </w:r>
      <w:sdt>
        <w:sdtPr>
          <w:rPr>
            <w:rFonts w:ascii="Arial" w:hAnsi="Arial" w:cs="Arial"/>
            <w:lang w:val="en-US"/>
          </w:rPr>
          <w:alias w:val="SmartCite Citation"/>
          <w:tag w:val="991a80a9-eecf-474a-993f-09c55a58e6a5:884b7ea4-f699-4003-8de4-76eae4db8f49+"/>
          <w:id w:val="-1803300276"/>
          <w:placeholder>
            <w:docPart w:val="37DBFEF5DF184A5D9C9E2434BBE00F0B"/>
          </w:placeholder>
        </w:sdtPr>
        <w:sdtContent>
          <w:r w:rsidRPr="00797C14">
            <w:rPr>
              <w:rFonts w:ascii="Arial" w:hAnsi="Arial" w:cs="Arial"/>
              <w:vertAlign w:val="superscript"/>
            </w:rPr>
            <w:t>9</w:t>
          </w:r>
        </w:sdtContent>
      </w:sdt>
      <w:r w:rsidRPr="001B1E6B">
        <w:rPr>
          <w:rFonts w:ascii="Arial" w:hAnsi="Arial" w:cs="Arial"/>
          <w:lang w:val="en-US"/>
        </w:rPr>
        <w:t>  are marked in red in Appendix 3.</w:t>
      </w:r>
    </w:p>
    <w:p w14:paraId="0B656752" w14:textId="77777777" w:rsidR="00FA7C7D" w:rsidRPr="001B1E6B" w:rsidRDefault="00FA7C7D" w:rsidP="00FA7C7D">
      <w:pPr>
        <w:jc w:val="both"/>
        <w:rPr>
          <w:rFonts w:ascii="Arial" w:hAnsi="Arial" w:cs="Arial"/>
          <w:lang w:val="en-US"/>
        </w:rPr>
      </w:pPr>
    </w:p>
    <w:p w14:paraId="4C3967AA"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Definition of Ibogaine-Associated Fatality</w:t>
      </w:r>
    </w:p>
    <w:p w14:paraId="514ACB69" w14:textId="77777777" w:rsidR="00FA7C7D" w:rsidRPr="001B1E6B" w:rsidRDefault="00FA7C7D" w:rsidP="00FA7C7D">
      <w:pPr>
        <w:jc w:val="both"/>
        <w:rPr>
          <w:rFonts w:ascii="Arial" w:hAnsi="Arial" w:cs="Arial"/>
          <w:lang w:val="en-US"/>
        </w:rPr>
      </w:pPr>
      <w:r w:rsidRPr="001B1E6B">
        <w:rPr>
          <w:rFonts w:ascii="Arial" w:hAnsi="Arial" w:cs="Arial"/>
          <w:lang w:val="en-US"/>
        </w:rPr>
        <w:t>A fatality was defined as any death occurring during or within 72 hours following ibogaine administration, regardless of causal attribution.</w:t>
      </w:r>
    </w:p>
    <w:p w14:paraId="3D6A4F24" w14:textId="77777777" w:rsidR="00FA7C7D" w:rsidRPr="001B1E6B" w:rsidRDefault="00FA7C7D" w:rsidP="00FA7C7D">
      <w:pPr>
        <w:jc w:val="both"/>
        <w:rPr>
          <w:rFonts w:ascii="Arial" w:hAnsi="Arial" w:cs="Arial"/>
          <w:lang w:val="en-US"/>
        </w:rPr>
      </w:pPr>
    </w:p>
    <w:p w14:paraId="326AE34F" w14:textId="77777777" w:rsidR="00FA7C7D" w:rsidRPr="001B1E6B" w:rsidRDefault="00FA7C7D" w:rsidP="00FA7C7D">
      <w:pPr>
        <w:jc w:val="both"/>
        <w:rPr>
          <w:rFonts w:ascii="Arial" w:hAnsi="Arial" w:cs="Arial"/>
          <w:lang w:val="en-US"/>
        </w:rPr>
      </w:pPr>
      <w:r w:rsidRPr="001B1E6B">
        <w:rPr>
          <w:rFonts w:ascii="Arial" w:hAnsi="Arial" w:cs="Arial"/>
          <w:lang w:val="en-US"/>
        </w:rPr>
        <w:t>This definition was selected to align with:</w:t>
      </w:r>
    </w:p>
    <w:p w14:paraId="499F0F43" w14:textId="77777777" w:rsidR="00FA7C7D" w:rsidRPr="001B1E6B" w:rsidRDefault="00FA7C7D" w:rsidP="00FA7C7D">
      <w:pPr>
        <w:numPr>
          <w:ilvl w:val="0"/>
          <w:numId w:val="2"/>
        </w:numPr>
        <w:jc w:val="both"/>
        <w:rPr>
          <w:rFonts w:ascii="Arial" w:hAnsi="Arial" w:cs="Arial"/>
          <w:lang w:val="en-US"/>
        </w:rPr>
      </w:pPr>
      <w:r w:rsidRPr="001B1E6B">
        <w:rPr>
          <w:rFonts w:ascii="Arial" w:hAnsi="Arial" w:cs="Arial"/>
          <w:lang w:val="en-US"/>
        </w:rPr>
        <w:t>prior literature</w:t>
      </w:r>
      <w:sdt>
        <w:sdtPr>
          <w:rPr>
            <w:rFonts w:ascii="Arial" w:hAnsi="Arial" w:cs="Arial"/>
            <w:lang w:val="en-US"/>
          </w:rPr>
          <w:alias w:val="SmartCite Citation"/>
          <w:tag w:val="991a80a9-eecf-474a-993f-09c55a58e6a5:012dd5ad-082c-4c9f-a8d3-d12021d177f9+"/>
          <w:id w:val="1672062741"/>
          <w:placeholder>
            <w:docPart w:val="37DBFEF5DF184A5D9C9E2434BBE00F0B"/>
          </w:placeholder>
        </w:sdtPr>
        <w:sdtContent>
          <w:r w:rsidRPr="00797C14">
            <w:rPr>
              <w:rFonts w:ascii="Arial" w:hAnsi="Arial" w:cs="Arial"/>
              <w:vertAlign w:val="superscript"/>
            </w:rPr>
            <w:t>8</w:t>
          </w:r>
        </w:sdtContent>
      </w:sdt>
      <w:r w:rsidRPr="001B1E6B">
        <w:rPr>
          <w:rFonts w:ascii="Arial" w:hAnsi="Arial" w:cs="Arial"/>
          <w:lang w:val="en-US"/>
        </w:rPr>
        <w:t> ,</w:t>
      </w:r>
    </w:p>
    <w:p w14:paraId="761954B4" w14:textId="77777777" w:rsidR="00FA7C7D" w:rsidRPr="001B1E6B" w:rsidRDefault="00FA7C7D" w:rsidP="00FA7C7D">
      <w:pPr>
        <w:numPr>
          <w:ilvl w:val="0"/>
          <w:numId w:val="2"/>
        </w:numPr>
        <w:jc w:val="both"/>
        <w:rPr>
          <w:rFonts w:ascii="Arial" w:hAnsi="Arial" w:cs="Arial"/>
          <w:lang w:val="en-US"/>
        </w:rPr>
      </w:pPr>
      <w:r w:rsidRPr="001B1E6B">
        <w:rPr>
          <w:rFonts w:ascii="Arial" w:hAnsi="Arial" w:cs="Arial"/>
          <w:lang w:val="en-US"/>
        </w:rPr>
        <w:t>and clinical monitoring practices outlined in the Global Ibogaine Safety Guidelines</w:t>
      </w:r>
      <w:sdt>
        <w:sdtPr>
          <w:rPr>
            <w:rFonts w:ascii="Arial" w:hAnsi="Arial" w:cs="Arial"/>
            <w:lang w:val="en-US"/>
          </w:rPr>
          <w:alias w:val="SmartCite Citation"/>
          <w:tag w:val="991a80a9-eecf-474a-993f-09c55a58e6a5:53798765-48a9-4a68-ba76-3b1b54a08a86+"/>
          <w:id w:val="-846410752"/>
          <w:placeholder>
            <w:docPart w:val="37DBFEF5DF184A5D9C9E2434BBE00F0B"/>
          </w:placeholder>
        </w:sdtPr>
        <w:sdtContent>
          <w:r w:rsidRPr="00797C14">
            <w:rPr>
              <w:rFonts w:ascii="Arial" w:hAnsi="Arial" w:cs="Arial"/>
              <w:vertAlign w:val="superscript"/>
            </w:rPr>
            <w:t>10</w:t>
          </w:r>
        </w:sdtContent>
      </w:sdt>
      <w:r w:rsidRPr="001B1E6B">
        <w:rPr>
          <w:rFonts w:ascii="Arial" w:hAnsi="Arial" w:cs="Arial"/>
          <w:lang w:val="en-US"/>
        </w:rPr>
        <w:t> .</w:t>
      </w:r>
    </w:p>
    <w:p w14:paraId="44D375A7" w14:textId="77777777" w:rsidR="00FA7C7D" w:rsidRPr="001B1E6B" w:rsidRDefault="00FA7C7D" w:rsidP="00FA7C7D">
      <w:pPr>
        <w:jc w:val="both"/>
        <w:rPr>
          <w:rFonts w:ascii="Arial" w:hAnsi="Arial" w:cs="Arial"/>
          <w:lang w:val="en-US"/>
        </w:rPr>
      </w:pPr>
    </w:p>
    <w:p w14:paraId="7F554FAC"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Supplementary Search Procedures</w:t>
      </w:r>
    </w:p>
    <w:p w14:paraId="06DE68AF"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To reduce the likelihood of missed cases, additional exploratory search procedures were applied, including targeted queries designed to identify reports in non-indexed or </w:t>
      </w:r>
      <w:r w:rsidRPr="001B1E6B">
        <w:rPr>
          <w:rFonts w:ascii="Arial" w:hAnsi="Arial" w:cs="Arial"/>
          <w:lang w:val="en-US"/>
        </w:rPr>
        <w:lastRenderedPageBreak/>
        <w:t xml:space="preserve">non-English sources. These approaches were used as a complement to standard </w:t>
      </w:r>
      <w:proofErr w:type="gramStart"/>
      <w:r w:rsidRPr="001B1E6B">
        <w:rPr>
          <w:rFonts w:ascii="Arial" w:hAnsi="Arial" w:cs="Arial"/>
          <w:lang w:val="en-US"/>
        </w:rPr>
        <w:t>database</w:t>
      </w:r>
      <w:proofErr w:type="gramEnd"/>
      <w:r w:rsidRPr="001B1E6B">
        <w:rPr>
          <w:rFonts w:ascii="Arial" w:hAnsi="Arial" w:cs="Arial"/>
          <w:lang w:val="en-US"/>
        </w:rPr>
        <w:t xml:space="preserve"> and grey literature searches.</w:t>
      </w:r>
    </w:p>
    <w:p w14:paraId="1D62A3F8" w14:textId="77777777" w:rsidR="00FA7C7D" w:rsidRPr="001B1E6B" w:rsidRDefault="00FA7C7D" w:rsidP="00FA7C7D">
      <w:pPr>
        <w:jc w:val="both"/>
        <w:rPr>
          <w:rFonts w:ascii="Arial" w:hAnsi="Arial" w:cs="Arial"/>
          <w:lang w:val="en-US"/>
        </w:rPr>
      </w:pPr>
    </w:p>
    <w:p w14:paraId="6C3922E1"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Google Trends Data Extraction</w:t>
      </w:r>
    </w:p>
    <w:p w14:paraId="66FBFE02" w14:textId="77777777" w:rsidR="00FA7C7D" w:rsidRPr="001B1E6B" w:rsidRDefault="00FA7C7D" w:rsidP="00FA7C7D">
      <w:pPr>
        <w:jc w:val="both"/>
        <w:rPr>
          <w:rFonts w:ascii="Arial" w:hAnsi="Arial" w:cs="Arial"/>
          <w:lang w:val="en-US"/>
        </w:rPr>
      </w:pPr>
      <w:r w:rsidRPr="001B1E6B">
        <w:rPr>
          <w:rFonts w:ascii="Arial" w:hAnsi="Arial" w:cs="Arial"/>
          <w:lang w:val="en-US"/>
        </w:rPr>
        <w:t>To contextualize temporal patterns in reported fatalities, public interest in ibogaine was estimated using Google Trends (https://trends.google.com).</w:t>
      </w:r>
    </w:p>
    <w:p w14:paraId="6C4C7EB2" w14:textId="77777777" w:rsidR="00FA7C7D" w:rsidRPr="001B1E6B" w:rsidRDefault="00FA7C7D" w:rsidP="00FA7C7D">
      <w:pPr>
        <w:jc w:val="both"/>
        <w:rPr>
          <w:rFonts w:ascii="Arial" w:hAnsi="Arial" w:cs="Arial"/>
          <w:lang w:val="en-US"/>
        </w:rPr>
      </w:pPr>
    </w:p>
    <w:p w14:paraId="4DA5690D" w14:textId="77777777" w:rsidR="00FA7C7D" w:rsidRPr="001B1E6B" w:rsidRDefault="00FA7C7D" w:rsidP="00FA7C7D">
      <w:pPr>
        <w:jc w:val="both"/>
        <w:rPr>
          <w:rFonts w:ascii="Arial" w:hAnsi="Arial" w:cs="Arial"/>
          <w:lang w:val="en-US"/>
        </w:rPr>
      </w:pPr>
      <w:r w:rsidRPr="001B1E6B">
        <w:rPr>
          <w:rFonts w:ascii="Arial" w:hAnsi="Arial" w:cs="Arial"/>
          <w:lang w:val="en-US"/>
        </w:rPr>
        <w:t>Search terms included “ibogaine” or “iboga.” Data were extracted for the period 2004–2026. Google Trends provides normalized search interest indices scaled from 0 to 100, representing relative search volume over time.</w:t>
      </w:r>
    </w:p>
    <w:p w14:paraId="5DBBF143" w14:textId="77777777" w:rsidR="00FA7C7D" w:rsidRPr="001B1E6B" w:rsidRDefault="00FA7C7D" w:rsidP="00FA7C7D">
      <w:pPr>
        <w:jc w:val="both"/>
        <w:rPr>
          <w:rFonts w:ascii="Arial" w:hAnsi="Arial" w:cs="Arial"/>
          <w:lang w:val="en-US"/>
        </w:rPr>
      </w:pPr>
    </w:p>
    <w:p w14:paraId="0E237381" w14:textId="77777777" w:rsidR="00FA7C7D" w:rsidRPr="001B1E6B" w:rsidRDefault="00FA7C7D" w:rsidP="00FA7C7D">
      <w:pPr>
        <w:jc w:val="both"/>
        <w:rPr>
          <w:rFonts w:ascii="Arial" w:hAnsi="Arial" w:cs="Arial"/>
          <w:lang w:val="en-US"/>
        </w:rPr>
      </w:pPr>
      <w:r w:rsidRPr="001B1E6B">
        <w:rPr>
          <w:rFonts w:ascii="Arial" w:hAnsi="Arial" w:cs="Arial"/>
          <w:lang w:val="en-US"/>
        </w:rPr>
        <w:t>Annual fatality counts were aligned with corresponding yearly search indices for correlation analyses.</w:t>
      </w:r>
    </w:p>
    <w:p w14:paraId="0112DF61" w14:textId="77777777" w:rsidR="00FA7C7D" w:rsidRPr="001B1E6B" w:rsidRDefault="00FA7C7D" w:rsidP="00FA7C7D">
      <w:pPr>
        <w:jc w:val="both"/>
        <w:rPr>
          <w:rFonts w:ascii="Arial" w:hAnsi="Arial" w:cs="Arial"/>
          <w:lang w:val="en-US"/>
        </w:rPr>
      </w:pPr>
    </w:p>
    <w:p w14:paraId="4C10329A" w14:textId="77777777" w:rsidR="00FA7C7D" w:rsidRPr="001B1E6B" w:rsidRDefault="00FA7C7D" w:rsidP="00FA7C7D">
      <w:pPr>
        <w:jc w:val="both"/>
        <w:rPr>
          <w:rFonts w:ascii="Arial" w:hAnsi="Arial" w:cs="Arial"/>
          <w:b/>
          <w:bCs/>
          <w:lang w:val="en-US"/>
        </w:rPr>
      </w:pPr>
    </w:p>
    <w:p w14:paraId="247217CA"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Supplementary Results</w:t>
      </w:r>
    </w:p>
    <w:p w14:paraId="48075728" w14:textId="77777777" w:rsidR="00FA7C7D" w:rsidRPr="001B1E6B" w:rsidRDefault="00FA7C7D" w:rsidP="00FA7C7D">
      <w:pPr>
        <w:jc w:val="both"/>
        <w:rPr>
          <w:rFonts w:ascii="Arial" w:hAnsi="Arial" w:cs="Arial"/>
          <w:lang w:val="en-US"/>
        </w:rPr>
      </w:pPr>
    </w:p>
    <w:p w14:paraId="5CA76AE7"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Additional Fatality Cases Identified</w:t>
      </w:r>
    </w:p>
    <w:p w14:paraId="1DBD03CD"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In addition to the 32 cases previously reported </w:t>
      </w:r>
      <w:sdt>
        <w:sdtPr>
          <w:rPr>
            <w:rFonts w:ascii="Arial" w:hAnsi="Arial" w:cs="Arial"/>
            <w:lang w:val="en-US"/>
          </w:rPr>
          <w:alias w:val="SmartCite Citation"/>
          <w:tag w:val="991a80a9-eecf-474a-993f-09c55a58e6a5:012dd5ad-082c-4c9f-a8d3-d12021d177f9,991a80a9-eecf-474a-993f-09c55a58e6a5:884b7ea4-f699-4003-8de4-76eae4db8f49+"/>
          <w:id w:val="-1522460685"/>
          <w:placeholder>
            <w:docPart w:val="37DBFEF5DF184A5D9C9E2434BBE00F0B"/>
          </w:placeholder>
        </w:sdtPr>
        <w:sdtContent>
          <w:r w:rsidRPr="00797C14">
            <w:rPr>
              <w:rFonts w:ascii="Arial" w:hAnsi="Arial" w:cs="Arial"/>
              <w:vertAlign w:val="superscript"/>
            </w:rPr>
            <w:t>8,9</w:t>
          </w:r>
        </w:sdtContent>
      </w:sdt>
      <w:r w:rsidRPr="001B1E6B">
        <w:rPr>
          <w:rFonts w:ascii="Arial" w:hAnsi="Arial" w:cs="Arial"/>
          <w:lang w:val="en-US"/>
        </w:rPr>
        <w:t>, 16 new cases were identified:</w:t>
      </w:r>
    </w:p>
    <w:p w14:paraId="774787D1" w14:textId="77777777" w:rsidR="00FA7C7D" w:rsidRPr="001B1E6B" w:rsidRDefault="00FA7C7D" w:rsidP="00FA7C7D">
      <w:pPr>
        <w:numPr>
          <w:ilvl w:val="0"/>
          <w:numId w:val="6"/>
        </w:numPr>
        <w:jc w:val="both"/>
        <w:rPr>
          <w:rFonts w:ascii="Arial" w:hAnsi="Arial" w:cs="Arial"/>
          <w:lang w:val="en-US"/>
        </w:rPr>
      </w:pPr>
      <w:r w:rsidRPr="001B1E6B">
        <w:rPr>
          <w:rFonts w:ascii="Arial" w:hAnsi="Arial" w:cs="Arial"/>
          <w:lang w:val="en-US"/>
        </w:rPr>
        <w:t>1 case from the peer-reviewed literature</w:t>
      </w:r>
      <w:sdt>
        <w:sdtPr>
          <w:rPr>
            <w:rFonts w:ascii="Arial" w:hAnsi="Arial" w:cs="Arial"/>
            <w:lang w:val="en-US"/>
          </w:rPr>
          <w:alias w:val="SmartCite Citation"/>
          <w:tag w:val="991a80a9-eecf-474a-993f-09c55a58e6a5:7dec7dd8-ca32-4805-bf03-41471c24db10+"/>
          <w:id w:val="-1446148071"/>
          <w:placeholder>
            <w:docPart w:val="37DBFEF5DF184A5D9C9E2434BBE00F0B"/>
          </w:placeholder>
        </w:sdtPr>
        <w:sdtContent>
          <w:r w:rsidRPr="00797C14">
            <w:rPr>
              <w:rFonts w:ascii="Arial" w:hAnsi="Arial" w:cs="Arial"/>
              <w:vertAlign w:val="superscript"/>
            </w:rPr>
            <w:t>23</w:t>
          </w:r>
        </w:sdtContent>
      </w:sdt>
      <w:r w:rsidRPr="001B1E6B">
        <w:rPr>
          <w:rFonts w:ascii="Arial" w:hAnsi="Arial" w:cs="Arial"/>
          <w:lang w:val="en-US"/>
        </w:rPr>
        <w:t>,</w:t>
      </w:r>
    </w:p>
    <w:p w14:paraId="0E324D8C" w14:textId="77777777" w:rsidR="00FA7C7D" w:rsidRPr="001B1E6B" w:rsidRDefault="00FA7C7D" w:rsidP="00FA7C7D">
      <w:pPr>
        <w:numPr>
          <w:ilvl w:val="0"/>
          <w:numId w:val="6"/>
        </w:numPr>
        <w:jc w:val="both"/>
        <w:rPr>
          <w:rFonts w:ascii="Arial" w:hAnsi="Arial" w:cs="Arial"/>
          <w:lang w:val="en-US"/>
        </w:rPr>
      </w:pPr>
      <w:r w:rsidRPr="001B1E6B">
        <w:rPr>
          <w:rFonts w:ascii="Arial" w:hAnsi="Arial" w:cs="Arial"/>
          <w:lang w:val="en-US"/>
        </w:rPr>
        <w:t>12 cases from grey literature sources,</w:t>
      </w:r>
    </w:p>
    <w:p w14:paraId="3AD5A7A3" w14:textId="77777777" w:rsidR="00FA7C7D" w:rsidRPr="001B1E6B" w:rsidRDefault="00FA7C7D" w:rsidP="00FA7C7D">
      <w:pPr>
        <w:numPr>
          <w:ilvl w:val="0"/>
          <w:numId w:val="6"/>
        </w:numPr>
        <w:jc w:val="both"/>
        <w:rPr>
          <w:rFonts w:ascii="Arial" w:hAnsi="Arial" w:cs="Arial"/>
          <w:lang w:val="en-US"/>
        </w:rPr>
      </w:pPr>
      <w:r w:rsidRPr="001B1E6B">
        <w:rPr>
          <w:rFonts w:ascii="Arial" w:hAnsi="Arial" w:cs="Arial"/>
          <w:lang w:val="en-US"/>
        </w:rPr>
        <w:t>3 cases from participating clinics (after de-duplication).</w:t>
      </w:r>
    </w:p>
    <w:p w14:paraId="318CDF66" w14:textId="77777777" w:rsidR="00FA7C7D" w:rsidRPr="001B1E6B" w:rsidRDefault="00FA7C7D" w:rsidP="00FA7C7D">
      <w:pPr>
        <w:jc w:val="both"/>
        <w:rPr>
          <w:rFonts w:ascii="Arial" w:hAnsi="Arial" w:cs="Arial"/>
          <w:lang w:val="en-US"/>
        </w:rPr>
      </w:pPr>
    </w:p>
    <w:p w14:paraId="046314F7" w14:textId="77777777" w:rsidR="00FA7C7D" w:rsidRPr="001B1E6B" w:rsidRDefault="00FA7C7D" w:rsidP="00FA7C7D">
      <w:pPr>
        <w:jc w:val="both"/>
        <w:rPr>
          <w:rFonts w:ascii="Arial" w:hAnsi="Arial" w:cs="Arial"/>
          <w:lang w:val="en-US"/>
        </w:rPr>
      </w:pPr>
      <w:r w:rsidRPr="001B1E6B">
        <w:rPr>
          <w:rFonts w:ascii="Arial" w:hAnsi="Arial" w:cs="Arial"/>
          <w:lang w:val="en-US"/>
        </w:rPr>
        <w:t>Note that Corkery</w:t>
      </w:r>
      <w:sdt>
        <w:sdtPr>
          <w:rPr>
            <w:rFonts w:ascii="Arial" w:hAnsi="Arial" w:cs="Arial"/>
            <w:lang w:val="en-US"/>
          </w:rPr>
          <w:alias w:val="SmartCite Citation"/>
          <w:tag w:val="991a80a9-eecf-474a-993f-09c55a58e6a5:884b7ea4-f699-4003-8de4-76eae4db8f49+"/>
          <w:id w:val="89205888"/>
          <w:placeholder>
            <w:docPart w:val="37DBFEF5DF184A5D9C9E2434BBE00F0B"/>
          </w:placeholder>
        </w:sdtPr>
        <w:sdtContent>
          <w:r w:rsidRPr="00797C14">
            <w:rPr>
              <w:rFonts w:ascii="Arial" w:hAnsi="Arial" w:cs="Arial"/>
              <w:vertAlign w:val="superscript"/>
            </w:rPr>
            <w:t>9</w:t>
          </w:r>
        </w:sdtContent>
      </w:sdt>
      <w:r w:rsidRPr="001B1E6B">
        <w:rPr>
          <w:rFonts w:ascii="Arial" w:hAnsi="Arial" w:cs="Arial"/>
          <w:lang w:val="en-US"/>
        </w:rPr>
        <w:t xml:space="preserve">  initially reported 33 cases, but double-counted the </w:t>
      </w:r>
      <w:proofErr w:type="spellStart"/>
      <w:r w:rsidRPr="001B1E6B">
        <w:rPr>
          <w:rFonts w:ascii="Arial" w:hAnsi="Arial" w:cs="Arial"/>
          <w:lang w:val="en-US"/>
        </w:rPr>
        <w:t>Mazoyer</w:t>
      </w:r>
      <w:proofErr w:type="spellEnd"/>
      <w:sdt>
        <w:sdtPr>
          <w:rPr>
            <w:rFonts w:ascii="Arial" w:hAnsi="Arial" w:cs="Arial"/>
            <w:lang w:val="en-US"/>
          </w:rPr>
          <w:alias w:val="SmartCite Citation"/>
          <w:tag w:val="991a80a9-eecf-474a-993f-09c55a58e6a5:0902cf74-2455-4aed-a26f-e01ff59ee91a+"/>
          <w:id w:val="-532799987"/>
          <w:placeholder>
            <w:docPart w:val="37DBFEF5DF184A5D9C9E2434BBE00F0B"/>
          </w:placeholder>
        </w:sdtPr>
        <w:sdtContent>
          <w:r w:rsidRPr="00797C14">
            <w:rPr>
              <w:rFonts w:ascii="Arial" w:hAnsi="Arial" w:cs="Arial"/>
              <w:vertAlign w:val="superscript"/>
            </w:rPr>
            <w:t>24</w:t>
          </w:r>
        </w:sdtContent>
      </w:sdt>
      <w:r w:rsidRPr="001B1E6B">
        <w:rPr>
          <w:rFonts w:ascii="Arial" w:hAnsi="Arial" w:cs="Arial"/>
          <w:lang w:val="en-US"/>
        </w:rPr>
        <w:t>  case that was already included as case #16 in Alper</w:t>
      </w:r>
      <w:sdt>
        <w:sdtPr>
          <w:rPr>
            <w:rFonts w:ascii="Arial" w:hAnsi="Arial" w:cs="Arial"/>
            <w:lang w:val="en-US"/>
          </w:rPr>
          <w:alias w:val="SmartCite Citation"/>
          <w:tag w:val="991a80a9-eecf-474a-993f-09c55a58e6a5:012dd5ad-082c-4c9f-a8d3-d12021d177f9+"/>
          <w:id w:val="1348516651"/>
          <w:placeholder>
            <w:docPart w:val="37DBFEF5DF184A5D9C9E2434BBE00F0B"/>
          </w:placeholder>
        </w:sdtPr>
        <w:sdtContent>
          <w:r w:rsidRPr="00797C14">
            <w:rPr>
              <w:rFonts w:ascii="Arial" w:hAnsi="Arial" w:cs="Arial"/>
              <w:vertAlign w:val="superscript"/>
            </w:rPr>
            <w:t>8</w:t>
          </w:r>
        </w:sdtContent>
      </w:sdt>
      <w:r w:rsidRPr="001B1E6B">
        <w:rPr>
          <w:rFonts w:ascii="Arial" w:hAnsi="Arial" w:cs="Arial"/>
          <w:lang w:val="en-US"/>
        </w:rPr>
        <w:t> .</w:t>
      </w:r>
    </w:p>
    <w:p w14:paraId="6827F117" w14:textId="77777777" w:rsidR="00FA7C7D" w:rsidRPr="001B1E6B" w:rsidRDefault="00FA7C7D" w:rsidP="00FA7C7D">
      <w:pPr>
        <w:jc w:val="both"/>
        <w:rPr>
          <w:rFonts w:ascii="Arial" w:hAnsi="Arial" w:cs="Arial"/>
          <w:lang w:val="en-US"/>
        </w:rPr>
      </w:pPr>
    </w:p>
    <w:p w14:paraId="5F58E362" w14:textId="77777777" w:rsidR="00FA7C7D" w:rsidRPr="001B1E6B" w:rsidRDefault="00FA7C7D" w:rsidP="00FA7C7D">
      <w:pPr>
        <w:jc w:val="both"/>
        <w:rPr>
          <w:rFonts w:ascii="Arial" w:hAnsi="Arial" w:cs="Arial"/>
          <w:lang w:val="en-US"/>
        </w:rPr>
      </w:pPr>
      <w:r w:rsidRPr="001B1E6B">
        <w:rPr>
          <w:rFonts w:ascii="Arial" w:hAnsi="Arial" w:cs="Arial"/>
          <w:lang w:val="en-US"/>
        </w:rPr>
        <w:t>This resulted in a total of 48 unique cases spanning 1990–2026.</w:t>
      </w:r>
    </w:p>
    <w:p w14:paraId="7018133F" w14:textId="77777777" w:rsidR="00FA7C7D" w:rsidRPr="001B1E6B" w:rsidRDefault="00FA7C7D" w:rsidP="00FA7C7D">
      <w:pPr>
        <w:jc w:val="both"/>
        <w:rPr>
          <w:rFonts w:ascii="Arial" w:hAnsi="Arial" w:cs="Arial"/>
          <w:lang w:val="en-US"/>
        </w:rPr>
      </w:pPr>
    </w:p>
    <w:p w14:paraId="66A74043" w14:textId="77777777" w:rsidR="00FA7C7D" w:rsidRPr="001B1E6B" w:rsidRDefault="00FA7C7D" w:rsidP="00FA7C7D">
      <w:pPr>
        <w:jc w:val="both"/>
        <w:rPr>
          <w:rFonts w:ascii="Arial" w:hAnsi="Arial" w:cs="Arial"/>
          <w:lang w:val="en-US"/>
        </w:rPr>
      </w:pPr>
      <w:r w:rsidRPr="001B1E6B">
        <w:rPr>
          <w:rFonts w:ascii="Arial" w:hAnsi="Arial" w:cs="Arial"/>
          <w:lang w:val="en-US"/>
        </w:rPr>
        <w:t>A detailed overview of all cases, including source attribution and cross-referencing, is provided in Appendix 3 and a live version that will remain updated online at www.brainclinics.com/resources.</w:t>
      </w:r>
    </w:p>
    <w:p w14:paraId="3959253B" w14:textId="77777777" w:rsidR="00FA7C7D" w:rsidRPr="001B1E6B" w:rsidRDefault="00FA7C7D" w:rsidP="00FA7C7D">
      <w:pPr>
        <w:jc w:val="both"/>
        <w:rPr>
          <w:rFonts w:ascii="Arial" w:hAnsi="Arial" w:cs="Arial"/>
          <w:lang w:val="en-US"/>
        </w:rPr>
      </w:pPr>
    </w:p>
    <w:p w14:paraId="2BF60893"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Demographic and Clinical Characteristics</w:t>
      </w:r>
    </w:p>
    <w:p w14:paraId="18B3B577" w14:textId="77777777" w:rsidR="00FA7C7D" w:rsidRPr="001B1E6B" w:rsidRDefault="00FA7C7D" w:rsidP="00FA7C7D">
      <w:pPr>
        <w:jc w:val="both"/>
        <w:rPr>
          <w:rFonts w:ascii="Arial" w:hAnsi="Arial" w:cs="Arial"/>
          <w:lang w:val="en-US"/>
        </w:rPr>
      </w:pPr>
      <w:r w:rsidRPr="001B1E6B">
        <w:rPr>
          <w:rFonts w:ascii="Arial" w:hAnsi="Arial" w:cs="Arial"/>
          <w:lang w:val="en-US"/>
        </w:rPr>
        <w:t>Among cases with available data:</w:t>
      </w:r>
    </w:p>
    <w:p w14:paraId="41454356" w14:textId="77777777" w:rsidR="00FA7C7D" w:rsidRPr="001B1E6B" w:rsidRDefault="00FA7C7D" w:rsidP="00FA7C7D">
      <w:pPr>
        <w:numPr>
          <w:ilvl w:val="0"/>
          <w:numId w:val="7"/>
        </w:numPr>
        <w:jc w:val="both"/>
        <w:rPr>
          <w:rFonts w:ascii="Arial" w:hAnsi="Arial" w:cs="Arial"/>
          <w:lang w:val="en-US"/>
        </w:rPr>
      </w:pPr>
      <w:r w:rsidRPr="001B1E6B">
        <w:rPr>
          <w:rFonts w:ascii="Arial" w:hAnsi="Arial" w:cs="Arial"/>
          <w:lang w:val="en-US"/>
        </w:rPr>
        <w:t>Mean age: 39.4 years (range, 23–60),</w:t>
      </w:r>
    </w:p>
    <w:p w14:paraId="1935216C" w14:textId="77777777" w:rsidR="00FA7C7D" w:rsidRPr="001B1E6B" w:rsidRDefault="00FA7C7D" w:rsidP="00FA7C7D">
      <w:pPr>
        <w:numPr>
          <w:ilvl w:val="0"/>
          <w:numId w:val="7"/>
        </w:numPr>
        <w:jc w:val="both"/>
        <w:rPr>
          <w:rFonts w:ascii="Arial" w:hAnsi="Arial" w:cs="Arial"/>
          <w:lang w:val="en-US"/>
        </w:rPr>
      </w:pPr>
      <w:r w:rsidRPr="001B1E6B">
        <w:rPr>
          <w:rFonts w:ascii="Arial" w:hAnsi="Arial" w:cs="Arial"/>
          <w:lang w:val="en-US"/>
        </w:rPr>
        <w:t>Sex: 34 male, 12 female (2 unknown),</w:t>
      </w:r>
    </w:p>
    <w:p w14:paraId="264FE448" w14:textId="77777777" w:rsidR="00FA7C7D" w:rsidRPr="001B1E6B" w:rsidRDefault="00FA7C7D" w:rsidP="00FA7C7D">
      <w:pPr>
        <w:numPr>
          <w:ilvl w:val="0"/>
          <w:numId w:val="7"/>
        </w:numPr>
        <w:jc w:val="both"/>
        <w:rPr>
          <w:rFonts w:ascii="Arial" w:hAnsi="Arial" w:cs="Arial"/>
          <w:lang w:val="en-US"/>
        </w:rPr>
      </w:pPr>
      <w:r w:rsidRPr="001B1E6B">
        <w:rPr>
          <w:rFonts w:ascii="Arial" w:hAnsi="Arial" w:cs="Arial"/>
          <w:lang w:val="en-US"/>
        </w:rPr>
        <w:t>Indication: 42 of 45 cases involved SUD (3 unknown).</w:t>
      </w:r>
    </w:p>
    <w:p w14:paraId="61F572E6" w14:textId="77777777" w:rsidR="00FA7C7D" w:rsidRPr="001B1E6B" w:rsidRDefault="00FA7C7D" w:rsidP="00FA7C7D">
      <w:pPr>
        <w:jc w:val="both"/>
        <w:rPr>
          <w:rFonts w:ascii="Arial" w:hAnsi="Arial" w:cs="Arial"/>
          <w:lang w:val="en-US"/>
        </w:rPr>
      </w:pPr>
    </w:p>
    <w:p w14:paraId="2045CC1B"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Ibogaine dose was reported in 15 cases, ranging from 4.5 to 29 mg per kilogram. The </w:t>
      </w:r>
      <w:proofErr w:type="gramStart"/>
      <w:r w:rsidRPr="001B1E6B">
        <w:rPr>
          <w:rFonts w:ascii="Arial" w:hAnsi="Arial" w:cs="Arial"/>
          <w:lang w:val="en-US"/>
        </w:rPr>
        <w:t>most commonly reported</w:t>
      </w:r>
      <w:proofErr w:type="gramEnd"/>
      <w:r w:rsidRPr="001B1E6B">
        <w:rPr>
          <w:rFonts w:ascii="Arial" w:hAnsi="Arial" w:cs="Arial"/>
          <w:lang w:val="en-US"/>
        </w:rPr>
        <w:t xml:space="preserve"> formulation was ibogaine hydrochloride.</w:t>
      </w:r>
    </w:p>
    <w:p w14:paraId="30B3E686" w14:textId="77777777" w:rsidR="00FA7C7D" w:rsidRPr="001B1E6B" w:rsidRDefault="00FA7C7D" w:rsidP="00FA7C7D">
      <w:pPr>
        <w:jc w:val="both"/>
        <w:rPr>
          <w:rFonts w:ascii="Arial" w:hAnsi="Arial" w:cs="Arial"/>
          <w:lang w:val="en-US"/>
        </w:rPr>
      </w:pPr>
    </w:p>
    <w:p w14:paraId="009F7DCC"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Circumstances of Death</w:t>
      </w:r>
    </w:p>
    <w:p w14:paraId="01A9A9CB"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Reported </w:t>
      </w:r>
      <w:proofErr w:type="gramStart"/>
      <w:r w:rsidRPr="001B1E6B">
        <w:rPr>
          <w:rFonts w:ascii="Arial" w:hAnsi="Arial" w:cs="Arial"/>
          <w:lang w:val="en-US"/>
        </w:rPr>
        <w:t>contributing</w:t>
      </w:r>
      <w:proofErr w:type="gramEnd"/>
      <w:r w:rsidRPr="001B1E6B">
        <w:rPr>
          <w:rFonts w:ascii="Arial" w:hAnsi="Arial" w:cs="Arial"/>
          <w:lang w:val="en-US"/>
        </w:rPr>
        <w:t xml:space="preserve"> factors included:</w:t>
      </w:r>
    </w:p>
    <w:p w14:paraId="64E38A71" w14:textId="77777777" w:rsidR="00FA7C7D" w:rsidRPr="001B1E6B" w:rsidRDefault="00FA7C7D" w:rsidP="00FA7C7D">
      <w:pPr>
        <w:numPr>
          <w:ilvl w:val="0"/>
          <w:numId w:val="8"/>
        </w:numPr>
        <w:jc w:val="both"/>
        <w:rPr>
          <w:rFonts w:ascii="Arial" w:hAnsi="Arial" w:cs="Arial"/>
          <w:lang w:val="en-US"/>
        </w:rPr>
      </w:pPr>
      <w:r w:rsidRPr="001B1E6B">
        <w:rPr>
          <w:rFonts w:ascii="Arial" w:hAnsi="Arial" w:cs="Arial"/>
          <w:lang w:val="en-US"/>
        </w:rPr>
        <w:t>cardiotoxicity and cardiac arrhythmias,</w:t>
      </w:r>
    </w:p>
    <w:p w14:paraId="0842F126" w14:textId="77777777" w:rsidR="00FA7C7D" w:rsidRPr="001B1E6B" w:rsidRDefault="00FA7C7D" w:rsidP="00FA7C7D">
      <w:pPr>
        <w:numPr>
          <w:ilvl w:val="0"/>
          <w:numId w:val="8"/>
        </w:numPr>
        <w:jc w:val="both"/>
        <w:rPr>
          <w:rFonts w:ascii="Arial" w:hAnsi="Arial" w:cs="Arial"/>
          <w:lang w:val="en-US"/>
        </w:rPr>
      </w:pPr>
      <w:r w:rsidRPr="001B1E6B">
        <w:rPr>
          <w:rFonts w:ascii="Arial" w:hAnsi="Arial" w:cs="Arial"/>
          <w:lang w:val="en-US"/>
        </w:rPr>
        <w:t>concurrent substance use,</w:t>
      </w:r>
    </w:p>
    <w:p w14:paraId="0B29ECBD" w14:textId="77777777" w:rsidR="00FA7C7D" w:rsidRPr="001B1E6B" w:rsidRDefault="00FA7C7D" w:rsidP="00FA7C7D">
      <w:pPr>
        <w:numPr>
          <w:ilvl w:val="0"/>
          <w:numId w:val="8"/>
        </w:numPr>
        <w:jc w:val="both"/>
        <w:rPr>
          <w:rFonts w:ascii="Arial" w:hAnsi="Arial" w:cs="Arial"/>
          <w:lang w:val="en-US"/>
        </w:rPr>
      </w:pPr>
      <w:r w:rsidRPr="001B1E6B">
        <w:rPr>
          <w:rFonts w:ascii="Arial" w:hAnsi="Arial" w:cs="Arial"/>
          <w:lang w:val="en-US"/>
        </w:rPr>
        <w:t>and behavioral disturbances (e.g., disorientation or impulsive actions preceding death).</w:t>
      </w:r>
    </w:p>
    <w:p w14:paraId="626BCF65" w14:textId="77777777" w:rsidR="00FA7C7D" w:rsidRPr="001B1E6B" w:rsidRDefault="00FA7C7D" w:rsidP="00FA7C7D">
      <w:pPr>
        <w:jc w:val="both"/>
        <w:rPr>
          <w:rFonts w:ascii="Arial" w:hAnsi="Arial" w:cs="Arial"/>
          <w:lang w:val="en-US"/>
        </w:rPr>
      </w:pPr>
    </w:p>
    <w:p w14:paraId="5D00537F" w14:textId="77777777" w:rsidR="00FA7C7D" w:rsidRPr="001B1E6B" w:rsidRDefault="00FA7C7D" w:rsidP="00FA7C7D">
      <w:pPr>
        <w:jc w:val="both"/>
        <w:rPr>
          <w:rFonts w:ascii="Arial" w:hAnsi="Arial" w:cs="Arial"/>
          <w:lang w:val="en-US"/>
        </w:rPr>
      </w:pPr>
      <w:r w:rsidRPr="001B1E6B">
        <w:rPr>
          <w:rFonts w:ascii="Arial" w:hAnsi="Arial" w:cs="Arial"/>
          <w:lang w:val="en-US"/>
        </w:rPr>
        <w:t>Detailed case-level information is provided in Appendix 3.</w:t>
      </w:r>
    </w:p>
    <w:p w14:paraId="70900800" w14:textId="77777777" w:rsidR="00FA7C7D" w:rsidRPr="001B1E6B" w:rsidRDefault="00FA7C7D" w:rsidP="00FA7C7D">
      <w:pPr>
        <w:jc w:val="both"/>
        <w:rPr>
          <w:rFonts w:ascii="Arial" w:hAnsi="Arial" w:cs="Arial"/>
          <w:lang w:val="en-US"/>
        </w:rPr>
      </w:pPr>
    </w:p>
    <w:p w14:paraId="608FD22C"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lastRenderedPageBreak/>
        <w:t>Seizures in the Clinical Cohort</w:t>
      </w:r>
    </w:p>
    <w:p w14:paraId="087ECAAA" w14:textId="77777777" w:rsidR="00FA7C7D" w:rsidRPr="001B1E6B" w:rsidRDefault="00FA7C7D" w:rsidP="00FA7C7D">
      <w:pPr>
        <w:jc w:val="both"/>
        <w:rPr>
          <w:rFonts w:ascii="Arial" w:hAnsi="Arial" w:cs="Arial"/>
          <w:lang w:val="en-US"/>
        </w:rPr>
      </w:pPr>
    </w:p>
    <w:p w14:paraId="033185B9" w14:textId="77777777" w:rsidR="00FA7C7D" w:rsidRPr="001B1E6B" w:rsidRDefault="00FA7C7D" w:rsidP="00FA7C7D">
      <w:pPr>
        <w:jc w:val="both"/>
        <w:rPr>
          <w:rFonts w:ascii="Arial" w:hAnsi="Arial" w:cs="Arial"/>
          <w:lang w:val="en-US"/>
        </w:rPr>
      </w:pPr>
      <w:r w:rsidRPr="001B1E6B">
        <w:rPr>
          <w:rFonts w:ascii="Arial" w:hAnsi="Arial" w:cs="Arial"/>
          <w:lang w:val="en-US"/>
        </w:rPr>
        <w:t>Across participating clinics, 6 seizures were reported among 19,071 treated patients, corresponding to a rate of 0.03%.</w:t>
      </w:r>
    </w:p>
    <w:p w14:paraId="1DE3B2E5" w14:textId="77777777" w:rsidR="00FA7C7D" w:rsidRPr="001B1E6B" w:rsidRDefault="00FA7C7D" w:rsidP="00FA7C7D">
      <w:pPr>
        <w:jc w:val="both"/>
        <w:rPr>
          <w:rFonts w:ascii="Arial" w:hAnsi="Arial" w:cs="Arial"/>
          <w:lang w:val="en-US"/>
        </w:rPr>
      </w:pPr>
    </w:p>
    <w:p w14:paraId="4352C6DF" w14:textId="77777777" w:rsidR="00FA7C7D" w:rsidRPr="001B1E6B" w:rsidRDefault="00FA7C7D" w:rsidP="00FA7C7D">
      <w:pPr>
        <w:jc w:val="both"/>
        <w:rPr>
          <w:rFonts w:ascii="Arial" w:hAnsi="Arial" w:cs="Arial"/>
          <w:lang w:val="en-US"/>
        </w:rPr>
      </w:pPr>
      <w:r w:rsidRPr="001B1E6B">
        <w:rPr>
          <w:rFonts w:ascii="Arial" w:hAnsi="Arial" w:cs="Arial"/>
          <w:lang w:val="en-US"/>
        </w:rPr>
        <w:t xml:space="preserve">Reported </w:t>
      </w:r>
      <w:proofErr w:type="gramStart"/>
      <w:r w:rsidRPr="001B1E6B">
        <w:rPr>
          <w:rFonts w:ascii="Arial" w:hAnsi="Arial" w:cs="Arial"/>
          <w:lang w:val="en-US"/>
        </w:rPr>
        <w:t>contributing</w:t>
      </w:r>
      <w:proofErr w:type="gramEnd"/>
      <w:r w:rsidRPr="001B1E6B">
        <w:rPr>
          <w:rFonts w:ascii="Arial" w:hAnsi="Arial" w:cs="Arial"/>
          <w:lang w:val="en-US"/>
        </w:rPr>
        <w:t xml:space="preserve"> factors included:</w:t>
      </w:r>
    </w:p>
    <w:p w14:paraId="59A43506" w14:textId="77777777" w:rsidR="00FA7C7D" w:rsidRPr="001B1E6B" w:rsidRDefault="00FA7C7D" w:rsidP="00FA7C7D">
      <w:pPr>
        <w:numPr>
          <w:ilvl w:val="0"/>
          <w:numId w:val="9"/>
        </w:numPr>
        <w:jc w:val="both"/>
        <w:rPr>
          <w:rFonts w:ascii="Arial" w:hAnsi="Arial" w:cs="Arial"/>
          <w:lang w:val="en-US"/>
        </w:rPr>
      </w:pPr>
      <w:r w:rsidRPr="001B1E6B">
        <w:rPr>
          <w:rFonts w:ascii="Arial" w:hAnsi="Arial" w:cs="Arial"/>
          <w:lang w:val="en-US"/>
        </w:rPr>
        <w:t>benzodiazepine withdrawal (5 cases),</w:t>
      </w:r>
    </w:p>
    <w:p w14:paraId="0B93031F" w14:textId="77777777" w:rsidR="00FA7C7D" w:rsidRPr="001B1E6B" w:rsidRDefault="00FA7C7D" w:rsidP="00FA7C7D">
      <w:pPr>
        <w:numPr>
          <w:ilvl w:val="0"/>
          <w:numId w:val="9"/>
        </w:numPr>
        <w:jc w:val="both"/>
        <w:rPr>
          <w:rFonts w:ascii="Arial" w:hAnsi="Arial" w:cs="Arial"/>
          <w:lang w:val="en-US"/>
        </w:rPr>
      </w:pPr>
      <w:r w:rsidRPr="001B1E6B">
        <w:rPr>
          <w:rFonts w:ascii="Arial" w:hAnsi="Arial" w:cs="Arial"/>
          <w:lang w:val="en-US"/>
        </w:rPr>
        <w:t>and pre-existing epilepsy (1 case).</w:t>
      </w:r>
    </w:p>
    <w:p w14:paraId="21EB6ADF" w14:textId="77777777" w:rsidR="00FA7C7D" w:rsidRPr="001B1E6B" w:rsidRDefault="00FA7C7D" w:rsidP="00FA7C7D">
      <w:pPr>
        <w:jc w:val="both"/>
        <w:rPr>
          <w:rFonts w:ascii="Arial" w:hAnsi="Arial" w:cs="Arial"/>
          <w:lang w:val="en-US"/>
        </w:rPr>
      </w:pPr>
    </w:p>
    <w:p w14:paraId="5F6F9FBD" w14:textId="77777777" w:rsidR="00FA7C7D" w:rsidRPr="001B1E6B" w:rsidRDefault="00FA7C7D" w:rsidP="00FA7C7D">
      <w:pPr>
        <w:jc w:val="both"/>
        <w:rPr>
          <w:rFonts w:ascii="Arial" w:hAnsi="Arial" w:cs="Arial"/>
          <w:lang w:val="en-US"/>
        </w:rPr>
      </w:pPr>
      <w:r w:rsidRPr="001B1E6B">
        <w:rPr>
          <w:rFonts w:ascii="Arial" w:hAnsi="Arial" w:cs="Arial"/>
          <w:lang w:val="en-US"/>
        </w:rPr>
        <w:t>In the latter case, treatment proceeded despite known contraindications due to clinical risk considerations.</w:t>
      </w:r>
    </w:p>
    <w:p w14:paraId="584FEE60" w14:textId="77777777" w:rsidR="00FA7C7D" w:rsidRPr="001B1E6B" w:rsidRDefault="00FA7C7D" w:rsidP="00FA7C7D">
      <w:pPr>
        <w:jc w:val="both"/>
        <w:rPr>
          <w:rFonts w:ascii="Arial" w:hAnsi="Arial" w:cs="Arial"/>
          <w:lang w:val="en-US"/>
        </w:rPr>
      </w:pPr>
    </w:p>
    <w:p w14:paraId="0D78B51D" w14:textId="77777777" w:rsidR="00FA7C7D" w:rsidRPr="001B1E6B" w:rsidRDefault="00FA7C7D" w:rsidP="00FA7C7D">
      <w:pPr>
        <w:jc w:val="both"/>
        <w:rPr>
          <w:rFonts w:ascii="Arial" w:hAnsi="Arial" w:cs="Arial"/>
          <w:lang w:val="en-US"/>
        </w:rPr>
      </w:pPr>
    </w:p>
    <w:p w14:paraId="6AC8E403" w14:textId="77777777" w:rsidR="00FA7C7D" w:rsidRPr="001B1E6B" w:rsidRDefault="00FA7C7D" w:rsidP="00FA7C7D">
      <w:pPr>
        <w:jc w:val="both"/>
        <w:rPr>
          <w:rFonts w:ascii="Arial" w:hAnsi="Arial" w:cs="Arial"/>
          <w:b/>
          <w:bCs/>
          <w:lang w:val="en-US"/>
        </w:rPr>
      </w:pPr>
      <w:r w:rsidRPr="001B1E6B">
        <w:rPr>
          <w:rFonts w:ascii="Arial" w:hAnsi="Arial" w:cs="Arial"/>
          <w:b/>
          <w:bCs/>
          <w:lang w:val="en-US"/>
        </w:rPr>
        <w:t>Supplementary Appendices</w:t>
      </w:r>
    </w:p>
    <w:p w14:paraId="37E0360F" w14:textId="77777777" w:rsidR="00FA7C7D" w:rsidRPr="001B1E6B" w:rsidRDefault="00FA7C7D" w:rsidP="00FA7C7D">
      <w:pPr>
        <w:numPr>
          <w:ilvl w:val="0"/>
          <w:numId w:val="10"/>
        </w:numPr>
        <w:jc w:val="both"/>
        <w:rPr>
          <w:rFonts w:ascii="Arial" w:hAnsi="Arial" w:cs="Arial"/>
          <w:lang w:val="en-US"/>
        </w:rPr>
      </w:pPr>
      <w:r w:rsidRPr="001B1E6B">
        <w:rPr>
          <w:rFonts w:ascii="Arial" w:hAnsi="Arial" w:cs="Arial"/>
          <w:b/>
          <w:bCs/>
          <w:lang w:val="en-US"/>
        </w:rPr>
        <w:t>Appendix 2</w:t>
      </w:r>
      <w:r w:rsidRPr="001B1E6B">
        <w:rPr>
          <w:rFonts w:ascii="Arial" w:hAnsi="Arial" w:cs="Arial"/>
          <w:lang w:val="en-US"/>
        </w:rPr>
        <w:t>: IBO-SAFE Checklist</w:t>
      </w:r>
    </w:p>
    <w:p w14:paraId="2F86B7BD" w14:textId="77777777" w:rsidR="00FA7C7D" w:rsidRPr="001B1E6B" w:rsidRDefault="00FA7C7D" w:rsidP="00FA7C7D">
      <w:pPr>
        <w:numPr>
          <w:ilvl w:val="0"/>
          <w:numId w:val="10"/>
        </w:numPr>
        <w:jc w:val="both"/>
        <w:rPr>
          <w:rFonts w:ascii="Arial" w:hAnsi="Arial" w:cs="Arial"/>
          <w:lang w:val="en-US"/>
        </w:rPr>
      </w:pPr>
      <w:r w:rsidRPr="001B1E6B">
        <w:rPr>
          <w:rFonts w:ascii="Arial" w:hAnsi="Arial" w:cs="Arial"/>
          <w:b/>
          <w:bCs/>
          <w:lang w:val="en-US"/>
        </w:rPr>
        <w:t>Appendix 3</w:t>
      </w:r>
      <w:r w:rsidRPr="001B1E6B">
        <w:rPr>
          <w:rFonts w:ascii="Arial" w:hAnsi="Arial" w:cs="Arial"/>
          <w:lang w:val="en-US"/>
        </w:rPr>
        <w:t>: Full Ibogaine Fatality Database (case-level overview)</w:t>
      </w:r>
    </w:p>
    <w:p w14:paraId="5E43A2C7" w14:textId="77777777" w:rsidR="00FA7C7D" w:rsidRPr="001B1E6B" w:rsidRDefault="00FA7C7D" w:rsidP="00FA7C7D">
      <w:pPr>
        <w:jc w:val="both"/>
        <w:rPr>
          <w:rFonts w:ascii="Arial" w:hAnsi="Arial" w:cs="Arial"/>
          <w:lang w:val="en-US"/>
        </w:rPr>
      </w:pPr>
      <w:r w:rsidRPr="001B1E6B">
        <w:rPr>
          <w:rFonts w:ascii="Arial" w:hAnsi="Arial" w:cs="Arial"/>
          <w:lang w:val="en-US"/>
        </w:rPr>
        <w:br w:type="page"/>
      </w:r>
    </w:p>
    <w:p w14:paraId="63C89351" w14:textId="77777777" w:rsidR="00FA7C7D" w:rsidRPr="001B1E6B" w:rsidRDefault="00FA7C7D" w:rsidP="00FA7C7D">
      <w:pPr>
        <w:jc w:val="both"/>
        <w:rPr>
          <w:rFonts w:ascii="Arial" w:eastAsiaTheme="minorHAnsi" w:hAnsi="Arial" w:cs="Arial"/>
          <w:b/>
          <w:bCs/>
          <w:kern w:val="2"/>
          <w:lang w:val="en-US" w:eastAsia="en-US"/>
          <w14:ligatures w14:val="standardContextual"/>
        </w:rPr>
      </w:pPr>
      <w:r w:rsidRPr="001B1E6B">
        <w:rPr>
          <w:rFonts w:ascii="Arial" w:hAnsi="Arial" w:cs="Arial"/>
          <w:b/>
          <w:bCs/>
          <w:lang w:val="en-US"/>
        </w:rPr>
        <w:lastRenderedPageBreak/>
        <w:t xml:space="preserve">Appendix 2: IBO-SAFE: </w:t>
      </w:r>
      <w:r w:rsidRPr="001B1E6B">
        <w:rPr>
          <w:rFonts w:ascii="Arial" w:eastAsiaTheme="minorHAnsi" w:hAnsi="Arial" w:cs="Arial"/>
          <w:b/>
          <w:bCs/>
          <w:kern w:val="2"/>
          <w:lang w:val="en-US" w:eastAsia="en-US"/>
          <w14:ligatures w14:val="standardContextual"/>
        </w:rPr>
        <w:t xml:space="preserve">Ibogaine Safety Assessment </w:t>
      </w:r>
      <w:proofErr w:type="gramStart"/>
      <w:r w:rsidRPr="001B1E6B">
        <w:rPr>
          <w:rFonts w:ascii="Arial" w:eastAsiaTheme="minorHAnsi" w:hAnsi="Arial" w:cs="Arial"/>
          <w:b/>
          <w:bCs/>
          <w:kern w:val="2"/>
          <w:lang w:val="en-US" w:eastAsia="en-US"/>
          <w14:ligatures w14:val="standardContextual"/>
        </w:rPr>
        <w:t>For</w:t>
      </w:r>
      <w:proofErr w:type="gramEnd"/>
      <w:r w:rsidRPr="001B1E6B">
        <w:rPr>
          <w:rFonts w:ascii="Arial" w:eastAsiaTheme="minorHAnsi" w:hAnsi="Arial" w:cs="Arial"/>
          <w:b/>
          <w:bCs/>
          <w:kern w:val="2"/>
          <w:lang w:val="en-US" w:eastAsia="en-US"/>
          <w14:ligatures w14:val="standardContextual"/>
        </w:rPr>
        <w:t xml:space="preserve"> Excellence</w:t>
      </w:r>
    </w:p>
    <w:p w14:paraId="20C88144" w14:textId="77777777" w:rsidR="00FA7C7D" w:rsidRPr="001B1E6B" w:rsidRDefault="00FA7C7D" w:rsidP="00FA7C7D">
      <w:pPr>
        <w:jc w:val="both"/>
        <w:rPr>
          <w:rFonts w:ascii="Arial" w:hAnsi="Arial" w:cs="Arial"/>
          <w:lang w:val="en-US"/>
        </w:rPr>
      </w:pPr>
    </w:p>
    <w:tbl>
      <w:tblPr>
        <w:tblStyle w:val="TableGrid"/>
        <w:tblW w:w="9498" w:type="dxa"/>
        <w:tblInd w:w="-147" w:type="dxa"/>
        <w:tblLook w:val="04A0" w:firstRow="1" w:lastRow="0" w:firstColumn="1" w:lastColumn="0" w:noHBand="0" w:noVBand="1"/>
      </w:tblPr>
      <w:tblGrid>
        <w:gridCol w:w="2690"/>
        <w:gridCol w:w="5938"/>
        <w:gridCol w:w="870"/>
      </w:tblGrid>
      <w:tr w:rsidR="00FA7C7D" w:rsidRPr="001B1E6B" w14:paraId="13EB1A05" w14:textId="77777777" w:rsidTr="00ED4C4B">
        <w:tc>
          <w:tcPr>
            <w:tcW w:w="2694" w:type="dxa"/>
          </w:tcPr>
          <w:p w14:paraId="4713C453" w14:textId="77777777" w:rsidR="00FA7C7D" w:rsidRPr="001B1E6B" w:rsidRDefault="00FA7C7D" w:rsidP="00ED4C4B">
            <w:pPr>
              <w:jc w:val="both"/>
              <w:rPr>
                <w:rFonts w:ascii="Arial" w:hAnsi="Arial" w:cs="Arial"/>
                <w:lang w:val="en-US"/>
              </w:rPr>
            </w:pPr>
            <w:r w:rsidRPr="001B1E6B">
              <w:rPr>
                <w:rFonts w:ascii="Arial" w:hAnsi="Arial" w:cs="Arial"/>
                <w:lang w:val="en-US"/>
              </w:rPr>
              <w:t>Items</w:t>
            </w:r>
          </w:p>
        </w:tc>
        <w:tc>
          <w:tcPr>
            <w:tcW w:w="5953" w:type="dxa"/>
          </w:tcPr>
          <w:p w14:paraId="5C5F8DF3" w14:textId="77777777" w:rsidR="00FA7C7D" w:rsidRPr="001B1E6B" w:rsidRDefault="00FA7C7D" w:rsidP="00ED4C4B">
            <w:pPr>
              <w:jc w:val="both"/>
              <w:rPr>
                <w:rFonts w:ascii="Arial" w:hAnsi="Arial" w:cs="Arial"/>
                <w:lang w:val="en-US"/>
              </w:rPr>
            </w:pPr>
            <w:r w:rsidRPr="001B1E6B">
              <w:rPr>
                <w:rFonts w:ascii="Arial" w:hAnsi="Arial" w:cs="Arial"/>
                <w:lang w:val="en-US"/>
              </w:rPr>
              <w:t>Rubric</w:t>
            </w:r>
          </w:p>
        </w:tc>
        <w:tc>
          <w:tcPr>
            <w:tcW w:w="851" w:type="dxa"/>
          </w:tcPr>
          <w:p w14:paraId="58D58F66" w14:textId="77777777" w:rsidR="00FA7C7D" w:rsidRPr="001B1E6B" w:rsidRDefault="00FA7C7D" w:rsidP="00ED4C4B">
            <w:pPr>
              <w:jc w:val="both"/>
              <w:rPr>
                <w:rFonts w:ascii="Arial" w:hAnsi="Arial" w:cs="Arial"/>
                <w:lang w:val="en-US"/>
              </w:rPr>
            </w:pPr>
            <w:r w:rsidRPr="001B1E6B">
              <w:rPr>
                <w:rFonts w:ascii="Arial" w:hAnsi="Arial" w:cs="Arial"/>
                <w:lang w:val="en-US"/>
              </w:rPr>
              <w:t>Score</w:t>
            </w:r>
          </w:p>
        </w:tc>
      </w:tr>
      <w:tr w:rsidR="00FA7C7D" w:rsidRPr="001B1E6B" w14:paraId="3B1E2DFE" w14:textId="77777777" w:rsidTr="00ED4C4B">
        <w:tc>
          <w:tcPr>
            <w:tcW w:w="2694" w:type="dxa"/>
          </w:tcPr>
          <w:p w14:paraId="3D51DCC0" w14:textId="77777777" w:rsidR="00FA7C7D" w:rsidRPr="001B1E6B" w:rsidRDefault="00FA7C7D" w:rsidP="00ED4C4B">
            <w:pPr>
              <w:jc w:val="both"/>
              <w:rPr>
                <w:rFonts w:ascii="Arial" w:hAnsi="Arial" w:cs="Arial"/>
                <w:lang w:val="en-US"/>
              </w:rPr>
            </w:pPr>
            <w:r w:rsidRPr="001B1E6B">
              <w:rPr>
                <w:rFonts w:ascii="Arial" w:hAnsi="Arial" w:cs="Arial"/>
                <w:lang w:val="en-US"/>
              </w:rPr>
              <w:t>Medical screening</w:t>
            </w:r>
          </w:p>
        </w:tc>
        <w:tc>
          <w:tcPr>
            <w:tcW w:w="5953" w:type="dxa"/>
          </w:tcPr>
          <w:p w14:paraId="088E8EAA"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b/>
                <w:bCs/>
                <w:lang w:val="en-US"/>
              </w:rPr>
              <w:t xml:space="preserve">2 points </w:t>
            </w:r>
            <w:r w:rsidRPr="001B1E6B">
              <w:rPr>
                <w:rFonts w:ascii="Arial" w:hAnsi="Arial" w:cs="Arial"/>
                <w:lang w:val="en-US"/>
              </w:rPr>
              <w:t>for adequate informed consent and declaration of risks and benefit</w:t>
            </w:r>
          </w:p>
          <w:p w14:paraId="6003CC39"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ECG screen (</w:t>
            </w:r>
            <w:r w:rsidRPr="001B1E6B">
              <w:rPr>
                <w:rFonts w:ascii="Arial" w:hAnsi="Arial" w:cs="Arial"/>
                <w:b/>
                <w:bCs/>
                <w:lang w:val="en-US"/>
              </w:rPr>
              <w:t>6 points</w:t>
            </w:r>
            <w:r w:rsidRPr="001B1E6B">
              <w:rPr>
                <w:rFonts w:ascii="Arial" w:hAnsi="Arial" w:cs="Arial"/>
                <w:lang w:val="en-US"/>
              </w:rPr>
              <w:t xml:space="preserve"> for 12-lead ECG)</w:t>
            </w:r>
          </w:p>
          <w:p w14:paraId="0CBE96F4"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lang w:val="en-US"/>
              </w:rPr>
              <w:t xml:space="preserve">1 point for echocardiogram, valium stress testing, or 24 </w:t>
            </w:r>
            <w:proofErr w:type="spellStart"/>
            <w:r w:rsidRPr="001B1E6B">
              <w:rPr>
                <w:rFonts w:ascii="Arial" w:hAnsi="Arial" w:cs="Arial"/>
                <w:lang w:val="en-US"/>
              </w:rPr>
              <w:t>h</w:t>
            </w:r>
            <w:r>
              <w:rPr>
                <w:rFonts w:ascii="Arial" w:hAnsi="Arial" w:cs="Arial"/>
                <w:lang w:val="en-US"/>
              </w:rPr>
              <w:t>o</w:t>
            </w:r>
            <w:r w:rsidRPr="001B1E6B">
              <w:rPr>
                <w:rFonts w:ascii="Arial" w:hAnsi="Arial" w:cs="Arial"/>
                <w:lang w:val="en-US"/>
              </w:rPr>
              <w:t>lter</w:t>
            </w:r>
            <w:proofErr w:type="spellEnd"/>
            <w:r w:rsidRPr="001B1E6B">
              <w:rPr>
                <w:rFonts w:ascii="Arial" w:hAnsi="Arial" w:cs="Arial"/>
                <w:lang w:val="en-US"/>
              </w:rPr>
              <w:t xml:space="preserve"> monitor if there are abnormalities in ECG</w:t>
            </w:r>
          </w:p>
          <w:p w14:paraId="06B1C5DE"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complete metabolic panel (Chem 12 or 18), incl. at least electrolytes and liver function tests</w:t>
            </w:r>
          </w:p>
          <w:p w14:paraId="6D00841A"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lang w:val="en-US"/>
              </w:rPr>
              <w:t>1 point for complete blood count</w:t>
            </w:r>
          </w:p>
          <w:p w14:paraId="47D8CAF6"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lang w:val="en-US"/>
              </w:rPr>
              <w:t>1 point for complete thyroid function test</w:t>
            </w:r>
          </w:p>
          <w:p w14:paraId="62EF2066" w14:textId="77777777" w:rsidR="00FA7C7D" w:rsidRPr="001B1E6B" w:rsidRDefault="00FA7C7D" w:rsidP="00ED4C4B">
            <w:pPr>
              <w:pStyle w:val="ListParagraph"/>
              <w:ind w:left="0"/>
              <w:jc w:val="both"/>
              <w:rPr>
                <w:rFonts w:ascii="Arial" w:hAnsi="Arial" w:cs="Arial"/>
                <w:lang w:val="en-US"/>
              </w:rPr>
            </w:pPr>
            <w:r w:rsidRPr="001B1E6B">
              <w:rPr>
                <w:rFonts w:ascii="Arial" w:hAnsi="Arial" w:cs="Arial"/>
                <w:lang w:val="en-US"/>
              </w:rPr>
              <w:t>1 point for complete physical</w:t>
            </w:r>
          </w:p>
        </w:tc>
        <w:tc>
          <w:tcPr>
            <w:tcW w:w="851" w:type="dxa"/>
          </w:tcPr>
          <w:p w14:paraId="0ABACB84" w14:textId="77777777" w:rsidR="00FA7C7D" w:rsidRPr="001B1E6B" w:rsidRDefault="00FA7C7D" w:rsidP="00ED4C4B">
            <w:pPr>
              <w:jc w:val="both"/>
              <w:rPr>
                <w:rFonts w:ascii="Arial" w:hAnsi="Arial" w:cs="Arial"/>
                <w:lang w:val="en-US"/>
              </w:rPr>
            </w:pPr>
            <w:r w:rsidRPr="001B1E6B">
              <w:rPr>
                <w:rFonts w:ascii="Arial" w:hAnsi="Arial" w:cs="Arial"/>
                <w:lang w:val="en-US"/>
              </w:rPr>
              <w:t>/17</w:t>
            </w:r>
          </w:p>
        </w:tc>
      </w:tr>
      <w:tr w:rsidR="00FA7C7D" w:rsidRPr="001B1E6B" w14:paraId="7F8BFF5B" w14:textId="77777777" w:rsidTr="00ED4C4B">
        <w:tc>
          <w:tcPr>
            <w:tcW w:w="2694" w:type="dxa"/>
          </w:tcPr>
          <w:p w14:paraId="0FD7351B" w14:textId="77777777" w:rsidR="00FA7C7D" w:rsidRPr="001B1E6B" w:rsidRDefault="00FA7C7D" w:rsidP="00ED4C4B">
            <w:pPr>
              <w:jc w:val="both"/>
              <w:rPr>
                <w:rFonts w:ascii="Arial" w:hAnsi="Arial" w:cs="Arial"/>
                <w:lang w:val="en-US"/>
              </w:rPr>
            </w:pPr>
            <w:r w:rsidRPr="001B1E6B">
              <w:rPr>
                <w:rFonts w:ascii="Arial" w:hAnsi="Arial" w:cs="Arial"/>
                <w:lang w:val="en-US"/>
              </w:rPr>
              <w:t>Exclusion criteria</w:t>
            </w:r>
          </w:p>
        </w:tc>
        <w:tc>
          <w:tcPr>
            <w:tcW w:w="5953" w:type="dxa"/>
          </w:tcPr>
          <w:p w14:paraId="4E1CF964" w14:textId="77777777" w:rsidR="00FA7C7D" w:rsidRPr="001B1E6B" w:rsidRDefault="00FA7C7D" w:rsidP="00ED4C4B">
            <w:pPr>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excluding QTc &gt; 450 </w:t>
            </w:r>
            <w:proofErr w:type="spellStart"/>
            <w:r w:rsidRPr="001B1E6B">
              <w:rPr>
                <w:rFonts w:ascii="Arial" w:hAnsi="Arial" w:cs="Arial"/>
                <w:lang w:val="en-US"/>
              </w:rPr>
              <w:t>ms</w:t>
            </w:r>
            <w:proofErr w:type="spellEnd"/>
            <w:r w:rsidRPr="001B1E6B">
              <w:rPr>
                <w:rFonts w:ascii="Arial" w:hAnsi="Arial" w:cs="Arial"/>
                <w:lang w:val="en-US"/>
              </w:rPr>
              <w:t xml:space="preserve"> in males and QTc &gt; 470 </w:t>
            </w:r>
            <w:proofErr w:type="spellStart"/>
            <w:r w:rsidRPr="001B1E6B">
              <w:rPr>
                <w:rFonts w:ascii="Arial" w:hAnsi="Arial" w:cs="Arial"/>
                <w:lang w:val="en-US"/>
              </w:rPr>
              <w:t>ms</w:t>
            </w:r>
            <w:proofErr w:type="spellEnd"/>
            <w:r w:rsidRPr="001B1E6B">
              <w:rPr>
                <w:rFonts w:ascii="Arial" w:hAnsi="Arial" w:cs="Arial"/>
                <w:lang w:val="en-US"/>
              </w:rPr>
              <w:t xml:space="preserve"> in females</w:t>
            </w:r>
          </w:p>
          <w:p w14:paraId="48984E17" w14:textId="77777777" w:rsidR="00FA7C7D" w:rsidRPr="001B1E6B" w:rsidRDefault="00FA7C7D" w:rsidP="00ED4C4B">
            <w:pPr>
              <w:jc w:val="both"/>
              <w:rPr>
                <w:rFonts w:ascii="Arial" w:hAnsi="Arial" w:cs="Arial"/>
                <w:lang w:val="en-US"/>
              </w:rPr>
            </w:pPr>
            <w:r w:rsidRPr="001B1E6B">
              <w:rPr>
                <w:rFonts w:ascii="Arial" w:hAnsi="Arial" w:cs="Arial"/>
                <w:b/>
                <w:bCs/>
                <w:lang w:val="en-US"/>
              </w:rPr>
              <w:t>3 points</w:t>
            </w:r>
            <w:r w:rsidRPr="001B1E6B">
              <w:rPr>
                <w:rFonts w:ascii="Arial" w:hAnsi="Arial" w:cs="Arial"/>
                <w:lang w:val="en-US"/>
              </w:rPr>
              <w:t xml:space="preserve"> for excluding</w:t>
            </w:r>
            <w:r w:rsidRPr="001B1E6B">
              <w:rPr>
                <w:rFonts w:ascii="Arial" w:hAnsi="Arial" w:cs="Arial"/>
                <w:b/>
                <w:bCs/>
                <w:lang w:val="en-US"/>
              </w:rPr>
              <w:t xml:space="preserve"> </w:t>
            </w:r>
            <w:r w:rsidRPr="001B1E6B">
              <w:rPr>
                <w:rFonts w:ascii="Arial" w:hAnsi="Arial" w:cs="Arial"/>
                <w:lang w:val="en-US"/>
              </w:rPr>
              <w:t>abnormal blood test results: ALT/AST/</w:t>
            </w:r>
            <w:proofErr w:type="spellStart"/>
            <w:r w:rsidRPr="001B1E6B">
              <w:rPr>
                <w:rFonts w:ascii="Arial" w:hAnsi="Arial" w:cs="Arial"/>
                <w:lang w:val="en-US"/>
              </w:rPr>
              <w:t>Bilirubine</w:t>
            </w:r>
            <w:proofErr w:type="spellEnd"/>
            <w:r w:rsidRPr="001B1E6B">
              <w:rPr>
                <w:rFonts w:ascii="Arial" w:hAnsi="Arial" w:cs="Arial"/>
                <w:lang w:val="en-US"/>
              </w:rPr>
              <w:t xml:space="preserve"> &gt; 3-5x upper limit of normal (ULN)</w:t>
            </w:r>
          </w:p>
          <w:p w14:paraId="15F89D41" w14:textId="77777777" w:rsidR="00FA7C7D" w:rsidRPr="001B1E6B" w:rsidRDefault="00FA7C7D" w:rsidP="00ED4C4B">
            <w:pPr>
              <w:jc w:val="both"/>
              <w:rPr>
                <w:rFonts w:ascii="Arial" w:hAnsi="Arial" w:cs="Arial"/>
                <w:lang w:val="en-US"/>
              </w:rPr>
            </w:pPr>
            <w:r w:rsidRPr="001B1E6B">
              <w:rPr>
                <w:rFonts w:ascii="Arial" w:hAnsi="Arial" w:cs="Arial"/>
                <w:lang w:val="en-US"/>
              </w:rPr>
              <w:t>1 point for excluding psychiatric/neurological conditions listed below*</w:t>
            </w:r>
          </w:p>
          <w:p w14:paraId="7DB5725E" w14:textId="77777777" w:rsidR="00FA7C7D" w:rsidRPr="001B1E6B" w:rsidRDefault="00FA7C7D" w:rsidP="00ED4C4B">
            <w:pPr>
              <w:jc w:val="both"/>
              <w:rPr>
                <w:rFonts w:ascii="Arial" w:hAnsi="Arial" w:cs="Arial"/>
                <w:lang w:val="en-US"/>
              </w:rPr>
            </w:pPr>
            <w:r w:rsidRPr="001B1E6B">
              <w:rPr>
                <w:rFonts w:ascii="Arial" w:hAnsi="Arial" w:cs="Arial"/>
                <w:lang w:val="en-US"/>
              </w:rPr>
              <w:t>1 point for excluding history of heart failure and active blood clots</w:t>
            </w:r>
          </w:p>
          <w:p w14:paraId="34F18359" w14:textId="77777777" w:rsidR="00FA7C7D" w:rsidRPr="001B1E6B" w:rsidRDefault="00FA7C7D" w:rsidP="00ED4C4B">
            <w:pPr>
              <w:jc w:val="both"/>
              <w:rPr>
                <w:rFonts w:ascii="Arial" w:hAnsi="Arial" w:cs="Arial"/>
                <w:lang w:val="en-US"/>
              </w:rPr>
            </w:pPr>
            <w:r w:rsidRPr="001B1E6B">
              <w:rPr>
                <w:rFonts w:ascii="Arial" w:hAnsi="Arial" w:cs="Arial"/>
                <w:lang w:val="en-US"/>
              </w:rPr>
              <w:t>1 point for excluding major respiratory conditions, such as low oxygen, emphysema, COPD, and cystic fibrosis</w:t>
            </w:r>
          </w:p>
          <w:p w14:paraId="3048C945" w14:textId="77777777" w:rsidR="00FA7C7D" w:rsidRPr="001B1E6B" w:rsidRDefault="00FA7C7D" w:rsidP="00ED4C4B">
            <w:pPr>
              <w:jc w:val="both"/>
              <w:rPr>
                <w:rFonts w:ascii="Arial" w:hAnsi="Arial" w:cs="Arial"/>
                <w:lang w:val="en-US"/>
              </w:rPr>
            </w:pPr>
            <w:r w:rsidRPr="001B1E6B">
              <w:rPr>
                <w:rFonts w:ascii="Arial" w:hAnsi="Arial" w:cs="Arial"/>
                <w:lang w:val="en-US"/>
              </w:rPr>
              <w:t xml:space="preserve">1 point for excluding chronic gastrointestinal issues, such as bleeding ulcer and leaky gut syndrome </w:t>
            </w:r>
          </w:p>
        </w:tc>
        <w:tc>
          <w:tcPr>
            <w:tcW w:w="851" w:type="dxa"/>
          </w:tcPr>
          <w:p w14:paraId="735E3108" w14:textId="77777777" w:rsidR="00FA7C7D" w:rsidRPr="001B1E6B" w:rsidRDefault="00FA7C7D" w:rsidP="00ED4C4B">
            <w:pPr>
              <w:jc w:val="both"/>
              <w:rPr>
                <w:rFonts w:ascii="Arial" w:hAnsi="Arial" w:cs="Arial"/>
                <w:lang w:val="en-US"/>
              </w:rPr>
            </w:pPr>
            <w:r w:rsidRPr="001B1E6B">
              <w:rPr>
                <w:rFonts w:ascii="Arial" w:hAnsi="Arial" w:cs="Arial"/>
                <w:lang w:val="en-US"/>
              </w:rPr>
              <w:t>/12</w:t>
            </w:r>
          </w:p>
        </w:tc>
      </w:tr>
      <w:tr w:rsidR="00FA7C7D" w:rsidRPr="001B1E6B" w14:paraId="3F5963DC" w14:textId="77777777" w:rsidTr="00ED4C4B">
        <w:tc>
          <w:tcPr>
            <w:tcW w:w="2694" w:type="dxa"/>
          </w:tcPr>
          <w:p w14:paraId="38D04536" w14:textId="77777777" w:rsidR="00FA7C7D" w:rsidRPr="001B1E6B" w:rsidRDefault="00FA7C7D" w:rsidP="00ED4C4B">
            <w:pPr>
              <w:jc w:val="both"/>
              <w:rPr>
                <w:rFonts w:ascii="Arial" w:hAnsi="Arial" w:cs="Arial"/>
                <w:lang w:val="en-US"/>
              </w:rPr>
            </w:pPr>
            <w:r w:rsidRPr="001B1E6B">
              <w:rPr>
                <w:rFonts w:ascii="Arial" w:hAnsi="Arial" w:cs="Arial"/>
                <w:lang w:val="en-US"/>
              </w:rPr>
              <w:t>Consideration of risk factors</w:t>
            </w:r>
          </w:p>
        </w:tc>
        <w:tc>
          <w:tcPr>
            <w:tcW w:w="5953" w:type="dxa"/>
          </w:tcPr>
          <w:p w14:paraId="28FC0BE6" w14:textId="77777777" w:rsidR="00FA7C7D" w:rsidRPr="001B1E6B" w:rsidRDefault="00FA7C7D" w:rsidP="00ED4C4B">
            <w:pPr>
              <w:jc w:val="both"/>
              <w:rPr>
                <w:rFonts w:ascii="Arial" w:hAnsi="Arial" w:cs="Arial"/>
                <w:lang w:val="en-US"/>
              </w:rPr>
            </w:pPr>
            <w:r w:rsidRPr="001B1E6B">
              <w:rPr>
                <w:rFonts w:ascii="Arial" w:hAnsi="Arial" w:cs="Arial"/>
                <w:b/>
                <w:bCs/>
                <w:lang w:val="en-US"/>
              </w:rPr>
              <w:t xml:space="preserve">3 </w:t>
            </w:r>
            <w:proofErr w:type="gramStart"/>
            <w:r w:rsidRPr="001B1E6B">
              <w:rPr>
                <w:rFonts w:ascii="Arial" w:hAnsi="Arial" w:cs="Arial"/>
                <w:b/>
                <w:bCs/>
                <w:lang w:val="en-US"/>
              </w:rPr>
              <w:t>point</w:t>
            </w:r>
            <w:proofErr w:type="gramEnd"/>
            <w:r w:rsidRPr="001B1E6B">
              <w:rPr>
                <w:rFonts w:ascii="Arial" w:hAnsi="Arial" w:cs="Arial"/>
                <w:lang w:val="en-US"/>
              </w:rPr>
              <w:t xml:space="preserve"> for considering cardiac risk factors listed below**</w:t>
            </w:r>
          </w:p>
          <w:p w14:paraId="686143E1" w14:textId="77777777" w:rsidR="00FA7C7D" w:rsidRPr="001B1E6B" w:rsidRDefault="00FA7C7D" w:rsidP="00ED4C4B">
            <w:pPr>
              <w:jc w:val="both"/>
              <w:rPr>
                <w:rFonts w:ascii="Arial" w:hAnsi="Arial" w:cs="Arial"/>
                <w:lang w:val="en-US"/>
              </w:rPr>
            </w:pPr>
            <w:r w:rsidRPr="001B1E6B">
              <w:rPr>
                <w:rFonts w:ascii="Arial" w:hAnsi="Arial" w:cs="Arial"/>
                <w:lang w:val="en-US"/>
              </w:rPr>
              <w:t>1 point for considering non-cardiac risk factors listed below***</w:t>
            </w:r>
          </w:p>
          <w:p w14:paraId="7675F9F5" w14:textId="77777777" w:rsidR="00FA7C7D" w:rsidRPr="001B1E6B" w:rsidRDefault="00FA7C7D" w:rsidP="00ED4C4B">
            <w:pPr>
              <w:jc w:val="both"/>
              <w:rPr>
                <w:rFonts w:ascii="Arial" w:hAnsi="Arial" w:cs="Arial"/>
                <w:lang w:val="en-US"/>
              </w:rPr>
            </w:pPr>
            <w:r w:rsidRPr="001B1E6B">
              <w:rPr>
                <w:rFonts w:ascii="Arial" w:hAnsi="Arial" w:cs="Arial"/>
                <w:lang w:val="en-US"/>
              </w:rPr>
              <w:t>1 point for correcting abnormal potassium or magnesium blood test results prior to Tx.</w:t>
            </w:r>
          </w:p>
        </w:tc>
        <w:tc>
          <w:tcPr>
            <w:tcW w:w="851" w:type="dxa"/>
          </w:tcPr>
          <w:p w14:paraId="27032970" w14:textId="77777777" w:rsidR="00FA7C7D" w:rsidRPr="001B1E6B" w:rsidRDefault="00FA7C7D" w:rsidP="00ED4C4B">
            <w:pPr>
              <w:jc w:val="both"/>
              <w:rPr>
                <w:rFonts w:ascii="Arial" w:hAnsi="Arial" w:cs="Arial"/>
                <w:lang w:val="en-US"/>
              </w:rPr>
            </w:pPr>
            <w:r w:rsidRPr="001B1E6B">
              <w:rPr>
                <w:rFonts w:ascii="Arial" w:hAnsi="Arial" w:cs="Arial"/>
                <w:lang w:val="en-US"/>
              </w:rPr>
              <w:t>/5</w:t>
            </w:r>
          </w:p>
        </w:tc>
      </w:tr>
      <w:tr w:rsidR="00FA7C7D" w:rsidRPr="001B1E6B" w14:paraId="6742D145" w14:textId="77777777" w:rsidTr="00ED4C4B">
        <w:tc>
          <w:tcPr>
            <w:tcW w:w="2694" w:type="dxa"/>
          </w:tcPr>
          <w:p w14:paraId="6358D546" w14:textId="77777777" w:rsidR="00FA7C7D" w:rsidRPr="001B1E6B" w:rsidRDefault="00FA7C7D" w:rsidP="00ED4C4B">
            <w:pPr>
              <w:jc w:val="both"/>
              <w:rPr>
                <w:rFonts w:ascii="Arial" w:hAnsi="Arial" w:cs="Arial"/>
                <w:lang w:val="en-US"/>
              </w:rPr>
            </w:pPr>
            <w:r w:rsidRPr="001B1E6B">
              <w:rPr>
                <w:rFonts w:ascii="Arial" w:hAnsi="Arial" w:cs="Arial"/>
                <w:lang w:val="en-US"/>
              </w:rPr>
              <w:t>Opioids</w:t>
            </w:r>
          </w:p>
        </w:tc>
        <w:tc>
          <w:tcPr>
            <w:tcW w:w="5953" w:type="dxa"/>
          </w:tcPr>
          <w:p w14:paraId="61FABCEA" w14:textId="77777777" w:rsidR="00FA7C7D" w:rsidRPr="001B1E6B" w:rsidRDefault="00FA7C7D" w:rsidP="00ED4C4B">
            <w:pPr>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ensuring ≤ 0.125 mg of residual buprenorphine and ≤ 2 mg of residual methadone </w:t>
            </w:r>
            <w:r w:rsidRPr="001B1E6B">
              <w:rPr>
                <w:rFonts w:ascii="Arial" w:hAnsi="Arial" w:cs="Arial"/>
                <w:u w:val="single"/>
                <w:lang w:val="en-US"/>
              </w:rPr>
              <w:t>based on half-life analysis</w:t>
            </w:r>
            <w:r w:rsidRPr="001B1E6B">
              <w:rPr>
                <w:rFonts w:ascii="Arial" w:hAnsi="Arial" w:cs="Arial"/>
                <w:lang w:val="en-US"/>
              </w:rPr>
              <w:t xml:space="preserve"> (24hrs or 48), if applicable</w:t>
            </w:r>
          </w:p>
        </w:tc>
        <w:tc>
          <w:tcPr>
            <w:tcW w:w="851" w:type="dxa"/>
          </w:tcPr>
          <w:p w14:paraId="6B2E38B8" w14:textId="77777777" w:rsidR="00FA7C7D" w:rsidRPr="001B1E6B" w:rsidRDefault="00FA7C7D" w:rsidP="00ED4C4B">
            <w:pPr>
              <w:jc w:val="both"/>
              <w:rPr>
                <w:rFonts w:ascii="Arial" w:hAnsi="Arial" w:cs="Arial"/>
                <w:lang w:val="en-US"/>
              </w:rPr>
            </w:pPr>
            <w:r w:rsidRPr="001B1E6B">
              <w:rPr>
                <w:rFonts w:ascii="Arial" w:hAnsi="Arial" w:cs="Arial"/>
                <w:lang w:val="en-US"/>
              </w:rPr>
              <w:t>/5</w:t>
            </w:r>
          </w:p>
        </w:tc>
      </w:tr>
      <w:tr w:rsidR="00FA7C7D" w:rsidRPr="001B1E6B" w14:paraId="502CABFE" w14:textId="77777777" w:rsidTr="00ED4C4B">
        <w:tc>
          <w:tcPr>
            <w:tcW w:w="2694" w:type="dxa"/>
          </w:tcPr>
          <w:p w14:paraId="09632999" w14:textId="77777777" w:rsidR="00FA7C7D" w:rsidRPr="001B1E6B" w:rsidRDefault="00FA7C7D" w:rsidP="00ED4C4B">
            <w:pPr>
              <w:jc w:val="both"/>
              <w:rPr>
                <w:rFonts w:ascii="Arial" w:hAnsi="Arial" w:cs="Arial"/>
                <w:lang w:val="en-US"/>
              </w:rPr>
            </w:pPr>
            <w:r w:rsidRPr="001B1E6B">
              <w:rPr>
                <w:rFonts w:ascii="Arial" w:hAnsi="Arial" w:cs="Arial"/>
                <w:lang w:val="en-US"/>
              </w:rPr>
              <w:t>Other drug interactions</w:t>
            </w:r>
          </w:p>
        </w:tc>
        <w:tc>
          <w:tcPr>
            <w:tcW w:w="5953" w:type="dxa"/>
          </w:tcPr>
          <w:p w14:paraId="3C3F8AC7" w14:textId="77777777" w:rsidR="00FA7C7D" w:rsidRPr="001B1E6B" w:rsidRDefault="00FA7C7D" w:rsidP="00ED4C4B">
            <w:pPr>
              <w:jc w:val="both"/>
              <w:rPr>
                <w:rFonts w:ascii="Arial" w:hAnsi="Arial" w:cs="Arial"/>
                <w:lang w:val="en-US"/>
              </w:rPr>
            </w:pPr>
            <w:r w:rsidRPr="001B1E6B">
              <w:rPr>
                <w:rFonts w:ascii="Arial" w:hAnsi="Arial" w:cs="Arial"/>
                <w:b/>
                <w:bCs/>
                <w:lang w:val="en-US"/>
              </w:rPr>
              <w:t>2 points</w:t>
            </w:r>
            <w:r w:rsidRPr="001B1E6B">
              <w:rPr>
                <w:rFonts w:ascii="Arial" w:hAnsi="Arial" w:cs="Arial"/>
                <w:lang w:val="en-US"/>
              </w:rPr>
              <w:t xml:space="preserve"> for urine analysis at intake to check for any substance/medication use</w:t>
            </w:r>
          </w:p>
          <w:p w14:paraId="6CBBD6F9" w14:textId="77777777" w:rsidR="00FA7C7D" w:rsidRPr="001B1E6B" w:rsidRDefault="00FA7C7D" w:rsidP="00ED4C4B">
            <w:pPr>
              <w:jc w:val="both"/>
              <w:rPr>
                <w:rFonts w:ascii="Arial" w:hAnsi="Arial" w:cs="Arial"/>
                <w:lang w:val="en-US"/>
              </w:rPr>
            </w:pPr>
            <w:r w:rsidRPr="001B1E6B">
              <w:rPr>
                <w:rFonts w:ascii="Arial" w:hAnsi="Arial" w:cs="Arial"/>
                <w:lang w:val="en-US"/>
              </w:rPr>
              <w:t>1 point for detox from alcohol dependency 5-7 days prior to ibogaine (min. 3 days), if applicable</w:t>
            </w:r>
          </w:p>
          <w:p w14:paraId="7D32F0C2" w14:textId="77777777" w:rsidR="00FA7C7D" w:rsidRPr="001B1E6B" w:rsidRDefault="00FA7C7D" w:rsidP="00ED4C4B">
            <w:pPr>
              <w:jc w:val="both"/>
              <w:rPr>
                <w:rFonts w:ascii="Arial" w:hAnsi="Arial" w:cs="Arial"/>
                <w:lang w:val="en-US"/>
              </w:rPr>
            </w:pPr>
            <w:r w:rsidRPr="001B1E6B">
              <w:rPr>
                <w:rFonts w:ascii="Arial" w:hAnsi="Arial" w:cs="Arial"/>
                <w:lang w:val="en-US"/>
              </w:rPr>
              <w:t xml:space="preserve">1 point for requiring participants to abstain from prescription stimulants, methamphetamine, and caffeine five days prior to ibogaine, and from cocaine seven days prior to ibogaine, if </w:t>
            </w:r>
            <w:proofErr w:type="gramStart"/>
            <w:r w:rsidRPr="001B1E6B">
              <w:rPr>
                <w:rFonts w:ascii="Arial" w:hAnsi="Arial" w:cs="Arial"/>
                <w:lang w:val="en-US"/>
              </w:rPr>
              <w:t>applicable</w:t>
            </w:r>
            <w:proofErr w:type="gramEnd"/>
          </w:p>
          <w:p w14:paraId="264B4EAB" w14:textId="77777777" w:rsidR="00FA7C7D" w:rsidRPr="001B1E6B" w:rsidRDefault="00FA7C7D" w:rsidP="00ED4C4B">
            <w:pPr>
              <w:jc w:val="both"/>
              <w:rPr>
                <w:rFonts w:ascii="Arial" w:hAnsi="Arial" w:cs="Arial"/>
                <w:lang w:val="en-US"/>
              </w:rPr>
            </w:pPr>
            <w:r w:rsidRPr="001B1E6B">
              <w:rPr>
                <w:rFonts w:ascii="Arial" w:hAnsi="Arial" w:cs="Arial"/>
                <w:lang w:val="en-US"/>
              </w:rPr>
              <w:t>1 point for stopping MAOIs 7 days before Tx, if applicable</w:t>
            </w:r>
          </w:p>
          <w:p w14:paraId="3215CA44" w14:textId="77777777" w:rsidR="00FA7C7D" w:rsidRPr="001B1E6B" w:rsidRDefault="00FA7C7D" w:rsidP="00ED4C4B">
            <w:pPr>
              <w:jc w:val="both"/>
              <w:rPr>
                <w:rFonts w:ascii="Arial" w:hAnsi="Arial" w:cs="Arial"/>
                <w:lang w:val="en-US"/>
              </w:rPr>
            </w:pPr>
            <w:r w:rsidRPr="001B1E6B">
              <w:rPr>
                <w:rFonts w:ascii="Arial" w:hAnsi="Arial" w:cs="Arial"/>
                <w:lang w:val="en-US"/>
              </w:rPr>
              <w:t>1 point for tapering participants from corticosteroids, (anabolic) steroids and beta blockers prior to ibogaine, if applicable</w:t>
            </w:r>
          </w:p>
          <w:p w14:paraId="08FD6BDF" w14:textId="77777777" w:rsidR="00FA7C7D" w:rsidRPr="001B1E6B" w:rsidRDefault="00FA7C7D" w:rsidP="00ED4C4B">
            <w:pPr>
              <w:jc w:val="both"/>
              <w:rPr>
                <w:rFonts w:ascii="Arial" w:hAnsi="Arial" w:cs="Arial"/>
                <w:lang w:val="en-US"/>
              </w:rPr>
            </w:pPr>
            <w:r w:rsidRPr="001B1E6B">
              <w:rPr>
                <w:rFonts w:ascii="Arial" w:hAnsi="Arial" w:cs="Arial"/>
                <w:lang w:val="en-US"/>
              </w:rPr>
              <w:t>1 point for considering switching from short-acting to longer-acting benzodiazepines.</w:t>
            </w:r>
          </w:p>
        </w:tc>
        <w:tc>
          <w:tcPr>
            <w:tcW w:w="851" w:type="dxa"/>
          </w:tcPr>
          <w:p w14:paraId="7D200354" w14:textId="77777777" w:rsidR="00FA7C7D" w:rsidRPr="001B1E6B" w:rsidRDefault="00FA7C7D" w:rsidP="00ED4C4B">
            <w:pPr>
              <w:jc w:val="both"/>
              <w:rPr>
                <w:rFonts w:ascii="Arial" w:hAnsi="Arial" w:cs="Arial"/>
                <w:lang w:val="en-US"/>
              </w:rPr>
            </w:pPr>
            <w:r w:rsidRPr="001B1E6B">
              <w:rPr>
                <w:rFonts w:ascii="Arial" w:hAnsi="Arial" w:cs="Arial"/>
                <w:lang w:val="en-US"/>
              </w:rPr>
              <w:t>/7</w:t>
            </w:r>
          </w:p>
        </w:tc>
      </w:tr>
      <w:tr w:rsidR="00FA7C7D" w:rsidRPr="001B1E6B" w14:paraId="4CCDAC45" w14:textId="77777777" w:rsidTr="00ED4C4B">
        <w:tc>
          <w:tcPr>
            <w:tcW w:w="2694" w:type="dxa"/>
          </w:tcPr>
          <w:p w14:paraId="5CCF207D" w14:textId="77777777" w:rsidR="00FA7C7D" w:rsidRPr="001B1E6B" w:rsidRDefault="00FA7C7D" w:rsidP="00ED4C4B">
            <w:pPr>
              <w:jc w:val="both"/>
              <w:rPr>
                <w:rFonts w:ascii="Arial" w:hAnsi="Arial" w:cs="Arial"/>
                <w:lang w:val="en-US"/>
              </w:rPr>
            </w:pPr>
            <w:r w:rsidRPr="001B1E6B">
              <w:rPr>
                <w:rFonts w:ascii="Arial" w:hAnsi="Arial" w:cs="Arial"/>
                <w:lang w:val="en-US"/>
              </w:rPr>
              <w:lastRenderedPageBreak/>
              <w:t>Precautions taken immediately before ibogaine dosing</w:t>
            </w:r>
          </w:p>
        </w:tc>
        <w:tc>
          <w:tcPr>
            <w:tcW w:w="5953" w:type="dxa"/>
          </w:tcPr>
          <w:p w14:paraId="111E46DC" w14:textId="77777777" w:rsidR="00FA7C7D" w:rsidRPr="001B1E6B" w:rsidRDefault="00FA7C7D" w:rsidP="00ED4C4B">
            <w:pPr>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pre-treating participants with magnesium sulfate</w:t>
            </w:r>
          </w:p>
          <w:p w14:paraId="51912B88" w14:textId="77777777" w:rsidR="00FA7C7D" w:rsidRPr="001B1E6B" w:rsidRDefault="00FA7C7D" w:rsidP="00ED4C4B">
            <w:pPr>
              <w:jc w:val="both"/>
              <w:rPr>
                <w:rFonts w:ascii="Arial" w:hAnsi="Arial" w:cs="Arial"/>
                <w:lang w:val="en-US"/>
              </w:rPr>
            </w:pPr>
            <w:r w:rsidRPr="001B1E6B">
              <w:rPr>
                <w:rFonts w:ascii="Arial" w:hAnsi="Arial" w:cs="Arial"/>
                <w:b/>
                <w:bCs/>
                <w:lang w:val="en-US"/>
              </w:rPr>
              <w:t>2 points</w:t>
            </w:r>
            <w:r w:rsidRPr="001B1E6B">
              <w:rPr>
                <w:rFonts w:ascii="Arial" w:hAnsi="Arial" w:cs="Arial"/>
                <w:lang w:val="en-US"/>
              </w:rPr>
              <w:t xml:space="preserve"> for inserting IV port </w:t>
            </w:r>
          </w:p>
          <w:p w14:paraId="493FD06E" w14:textId="77777777" w:rsidR="00FA7C7D" w:rsidRPr="001B1E6B" w:rsidRDefault="00FA7C7D" w:rsidP="00ED4C4B">
            <w:pPr>
              <w:jc w:val="both"/>
              <w:rPr>
                <w:rFonts w:ascii="Arial" w:hAnsi="Arial" w:cs="Arial"/>
                <w:lang w:val="en-US"/>
              </w:rPr>
            </w:pPr>
            <w:r w:rsidRPr="001B1E6B">
              <w:rPr>
                <w:rFonts w:ascii="Arial" w:hAnsi="Arial" w:cs="Arial"/>
                <w:lang w:val="en-US"/>
              </w:rPr>
              <w:t>1 point for second ECG to confirm ECG results from screening</w:t>
            </w:r>
          </w:p>
          <w:p w14:paraId="302BE580" w14:textId="77777777" w:rsidR="00FA7C7D" w:rsidRPr="001B1E6B" w:rsidRDefault="00FA7C7D" w:rsidP="00ED4C4B">
            <w:pPr>
              <w:jc w:val="both"/>
              <w:rPr>
                <w:rFonts w:ascii="Arial" w:hAnsi="Arial" w:cs="Arial"/>
                <w:lang w:val="en-US"/>
              </w:rPr>
            </w:pPr>
            <w:r w:rsidRPr="001B1E6B">
              <w:rPr>
                <w:rFonts w:ascii="Arial" w:hAnsi="Arial" w:cs="Arial"/>
                <w:lang w:val="en-US"/>
              </w:rPr>
              <w:t>1 point for checking Objective Opioid Withdrawal scores, if applicable</w:t>
            </w:r>
          </w:p>
        </w:tc>
        <w:tc>
          <w:tcPr>
            <w:tcW w:w="851" w:type="dxa"/>
          </w:tcPr>
          <w:p w14:paraId="1F103BAA" w14:textId="77777777" w:rsidR="00FA7C7D" w:rsidRPr="001B1E6B" w:rsidRDefault="00FA7C7D" w:rsidP="00ED4C4B">
            <w:pPr>
              <w:jc w:val="both"/>
              <w:rPr>
                <w:rFonts w:ascii="Arial" w:hAnsi="Arial" w:cs="Arial"/>
                <w:lang w:val="en-US"/>
              </w:rPr>
            </w:pPr>
            <w:r w:rsidRPr="001B1E6B">
              <w:rPr>
                <w:rFonts w:ascii="Arial" w:hAnsi="Arial" w:cs="Arial"/>
                <w:lang w:val="en-US"/>
              </w:rPr>
              <w:t>/9</w:t>
            </w:r>
          </w:p>
        </w:tc>
      </w:tr>
      <w:tr w:rsidR="00FA7C7D" w:rsidRPr="001B1E6B" w14:paraId="29B0BEE5" w14:textId="77777777" w:rsidTr="00ED4C4B">
        <w:tc>
          <w:tcPr>
            <w:tcW w:w="2694" w:type="dxa"/>
          </w:tcPr>
          <w:p w14:paraId="09569FCC" w14:textId="77777777" w:rsidR="00FA7C7D" w:rsidRPr="001B1E6B" w:rsidRDefault="00FA7C7D" w:rsidP="00ED4C4B">
            <w:pPr>
              <w:jc w:val="both"/>
              <w:rPr>
                <w:rFonts w:ascii="Arial" w:hAnsi="Arial" w:cs="Arial"/>
                <w:lang w:val="en-US"/>
              </w:rPr>
            </w:pPr>
            <w:r w:rsidRPr="001B1E6B">
              <w:rPr>
                <w:rFonts w:ascii="Arial" w:hAnsi="Arial" w:cs="Arial"/>
                <w:lang w:val="en-US"/>
              </w:rPr>
              <w:t>Precautions taken during ibogaine dosing</w:t>
            </w:r>
          </w:p>
        </w:tc>
        <w:tc>
          <w:tcPr>
            <w:tcW w:w="5953" w:type="dxa"/>
          </w:tcPr>
          <w:p w14:paraId="5B3D0895" w14:textId="77777777" w:rsidR="00FA7C7D" w:rsidRPr="001B1E6B" w:rsidRDefault="00FA7C7D" w:rsidP="00ED4C4B">
            <w:pPr>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continuous monitoring of participants’ respiratory and cardiac changes with 3-lead ECG 12-24 hours after ibogaine dose</w:t>
            </w:r>
          </w:p>
          <w:p w14:paraId="4F7F342A" w14:textId="77777777" w:rsidR="00FA7C7D" w:rsidRPr="001B1E6B" w:rsidRDefault="00FA7C7D" w:rsidP="00ED4C4B">
            <w:pPr>
              <w:jc w:val="both"/>
              <w:rPr>
                <w:rFonts w:ascii="Arial" w:hAnsi="Arial" w:cs="Arial"/>
                <w:lang w:val="en-US"/>
              </w:rPr>
            </w:pPr>
            <w:r w:rsidRPr="001B1E6B">
              <w:rPr>
                <w:rFonts w:ascii="Arial" w:hAnsi="Arial" w:cs="Arial"/>
                <w:b/>
                <w:bCs/>
                <w:lang w:val="en-US"/>
              </w:rPr>
              <w:t xml:space="preserve">5 points </w:t>
            </w:r>
            <w:r w:rsidRPr="001B1E6B">
              <w:rPr>
                <w:rFonts w:ascii="Arial" w:hAnsi="Arial" w:cs="Arial"/>
                <w:lang w:val="en-US"/>
              </w:rPr>
              <w:t>for using magnesium sulfate to control QTc during ibogaine treatment, if needed</w:t>
            </w:r>
          </w:p>
          <w:p w14:paraId="5E0108A5" w14:textId="77777777" w:rsidR="00FA7C7D" w:rsidRPr="001B1E6B" w:rsidRDefault="00FA7C7D" w:rsidP="00ED4C4B">
            <w:pPr>
              <w:jc w:val="both"/>
              <w:rPr>
                <w:rFonts w:ascii="Arial" w:hAnsi="Arial" w:cs="Arial"/>
                <w:lang w:val="en-US"/>
              </w:rPr>
            </w:pPr>
            <w:r w:rsidRPr="001B1E6B">
              <w:rPr>
                <w:rFonts w:ascii="Arial" w:hAnsi="Arial" w:cs="Arial"/>
                <w:b/>
                <w:bCs/>
                <w:lang w:val="en-US"/>
              </w:rPr>
              <w:t>5 points</w:t>
            </w:r>
            <w:r w:rsidRPr="001B1E6B">
              <w:rPr>
                <w:rFonts w:ascii="Arial" w:hAnsi="Arial" w:cs="Arial"/>
                <w:lang w:val="en-US"/>
              </w:rPr>
              <w:t xml:space="preserve"> for supervision of participants with at least one ACLS trained staff member 12-24 hours after ibogaine dose</w:t>
            </w:r>
          </w:p>
          <w:p w14:paraId="68B59687" w14:textId="77777777" w:rsidR="00FA7C7D" w:rsidRPr="001B1E6B" w:rsidRDefault="00FA7C7D" w:rsidP="00ED4C4B">
            <w:pPr>
              <w:jc w:val="both"/>
              <w:rPr>
                <w:rFonts w:ascii="Arial" w:hAnsi="Arial" w:cs="Arial"/>
                <w:lang w:val="en-US"/>
              </w:rPr>
            </w:pPr>
            <w:r w:rsidRPr="001B1E6B">
              <w:rPr>
                <w:rFonts w:ascii="Arial" w:hAnsi="Arial" w:cs="Arial"/>
                <w:b/>
                <w:bCs/>
                <w:lang w:val="en-US"/>
              </w:rPr>
              <w:t>2 points</w:t>
            </w:r>
            <w:r w:rsidRPr="001B1E6B">
              <w:rPr>
                <w:rFonts w:ascii="Arial" w:hAnsi="Arial" w:cs="Arial"/>
                <w:lang w:val="en-US"/>
              </w:rPr>
              <w:t xml:space="preserve"> for regular (</w:t>
            </w:r>
            <w:r w:rsidRPr="001B1E6B">
              <w:rPr>
                <w:rFonts w:ascii="Arial" w:hAnsi="Arial" w:cs="Arial"/>
                <w:u w:val="single"/>
                <w:lang w:val="en-US"/>
              </w:rPr>
              <w:t xml:space="preserve">at least once every 4 </w:t>
            </w:r>
            <w:proofErr w:type="spellStart"/>
            <w:r w:rsidRPr="001B1E6B">
              <w:rPr>
                <w:rFonts w:ascii="Arial" w:hAnsi="Arial" w:cs="Arial"/>
                <w:u w:val="single"/>
                <w:lang w:val="en-US"/>
              </w:rPr>
              <w:t>hr</w:t>
            </w:r>
            <w:proofErr w:type="spellEnd"/>
            <w:r w:rsidRPr="001B1E6B">
              <w:rPr>
                <w:rFonts w:ascii="Arial" w:hAnsi="Arial" w:cs="Arial"/>
                <w:lang w:val="en-US"/>
              </w:rPr>
              <w:t>) cardiac monitoring 24-72 hours after ibogaine dose and at least one ACLS staff on call</w:t>
            </w:r>
          </w:p>
          <w:p w14:paraId="195CAB29" w14:textId="77777777" w:rsidR="00FA7C7D" w:rsidRPr="001B1E6B" w:rsidRDefault="00FA7C7D" w:rsidP="00ED4C4B">
            <w:pPr>
              <w:jc w:val="both"/>
              <w:rPr>
                <w:rFonts w:ascii="Arial" w:hAnsi="Arial" w:cs="Arial"/>
                <w:lang w:val="en-US"/>
              </w:rPr>
            </w:pPr>
            <w:r w:rsidRPr="001B1E6B">
              <w:rPr>
                <w:rFonts w:ascii="Arial" w:hAnsi="Arial" w:cs="Arial"/>
                <w:lang w:val="en-US"/>
              </w:rPr>
              <w:t>1 point for rescue medication in the event of opioid overdose, oxygen saturation below 92%, bradycardia, and asthma attack</w:t>
            </w:r>
          </w:p>
        </w:tc>
        <w:tc>
          <w:tcPr>
            <w:tcW w:w="851" w:type="dxa"/>
          </w:tcPr>
          <w:p w14:paraId="131F0FE0" w14:textId="77777777" w:rsidR="00FA7C7D" w:rsidRPr="001B1E6B" w:rsidRDefault="00FA7C7D" w:rsidP="00ED4C4B">
            <w:pPr>
              <w:jc w:val="both"/>
              <w:rPr>
                <w:rFonts w:ascii="Arial" w:hAnsi="Arial" w:cs="Arial"/>
                <w:lang w:val="en-US"/>
              </w:rPr>
            </w:pPr>
            <w:r w:rsidRPr="001B1E6B">
              <w:rPr>
                <w:rFonts w:ascii="Arial" w:hAnsi="Arial" w:cs="Arial"/>
                <w:lang w:val="en-US"/>
              </w:rPr>
              <w:t>/18</w:t>
            </w:r>
          </w:p>
        </w:tc>
      </w:tr>
      <w:tr w:rsidR="00FA7C7D" w:rsidRPr="001B1E6B" w14:paraId="10FC1CCB" w14:textId="77777777" w:rsidTr="00ED4C4B">
        <w:tc>
          <w:tcPr>
            <w:tcW w:w="2694" w:type="dxa"/>
          </w:tcPr>
          <w:p w14:paraId="7C982BB5" w14:textId="77777777" w:rsidR="00FA7C7D" w:rsidRPr="001B1E6B" w:rsidRDefault="00FA7C7D" w:rsidP="00ED4C4B">
            <w:pPr>
              <w:jc w:val="both"/>
              <w:rPr>
                <w:rFonts w:ascii="Arial" w:hAnsi="Arial" w:cs="Arial"/>
                <w:lang w:val="en-US"/>
              </w:rPr>
            </w:pPr>
          </w:p>
        </w:tc>
        <w:tc>
          <w:tcPr>
            <w:tcW w:w="5953" w:type="dxa"/>
          </w:tcPr>
          <w:p w14:paraId="74D1BAC2" w14:textId="77777777" w:rsidR="00FA7C7D" w:rsidRPr="001B1E6B" w:rsidRDefault="00FA7C7D" w:rsidP="00ED4C4B">
            <w:pPr>
              <w:jc w:val="both"/>
              <w:rPr>
                <w:rFonts w:ascii="Arial" w:hAnsi="Arial" w:cs="Arial"/>
                <w:lang w:val="en-US"/>
              </w:rPr>
            </w:pPr>
          </w:p>
        </w:tc>
        <w:tc>
          <w:tcPr>
            <w:tcW w:w="851" w:type="dxa"/>
          </w:tcPr>
          <w:p w14:paraId="2CF695FF" w14:textId="77777777" w:rsidR="00FA7C7D" w:rsidRPr="001B1E6B" w:rsidRDefault="00FA7C7D" w:rsidP="00ED4C4B">
            <w:pPr>
              <w:jc w:val="both"/>
              <w:rPr>
                <w:rFonts w:ascii="Arial" w:hAnsi="Arial" w:cs="Arial"/>
                <w:b/>
                <w:bCs/>
                <w:lang w:val="en-US"/>
              </w:rPr>
            </w:pPr>
            <w:r w:rsidRPr="001B1E6B">
              <w:rPr>
                <w:rFonts w:ascii="Arial" w:hAnsi="Arial" w:cs="Arial"/>
                <w:b/>
                <w:bCs/>
                <w:lang w:val="en-US"/>
              </w:rPr>
              <w:t>Total:</w:t>
            </w:r>
          </w:p>
          <w:p w14:paraId="0AE5124F" w14:textId="77777777" w:rsidR="00FA7C7D" w:rsidRPr="001B1E6B" w:rsidRDefault="00FA7C7D" w:rsidP="00ED4C4B">
            <w:pPr>
              <w:jc w:val="both"/>
              <w:rPr>
                <w:rFonts w:ascii="Arial" w:hAnsi="Arial" w:cs="Arial"/>
                <w:b/>
                <w:bCs/>
                <w:lang w:val="en-US"/>
              </w:rPr>
            </w:pPr>
            <w:r w:rsidRPr="001B1E6B">
              <w:rPr>
                <w:rFonts w:ascii="Arial" w:hAnsi="Arial" w:cs="Arial"/>
                <w:b/>
                <w:bCs/>
                <w:lang w:val="en-US"/>
              </w:rPr>
              <w:t>/73</w:t>
            </w:r>
          </w:p>
        </w:tc>
      </w:tr>
    </w:tbl>
    <w:p w14:paraId="32E96526" w14:textId="77777777" w:rsidR="00FA7C7D" w:rsidRPr="001B1E6B" w:rsidRDefault="00FA7C7D" w:rsidP="00FA7C7D">
      <w:pPr>
        <w:jc w:val="both"/>
        <w:rPr>
          <w:rFonts w:ascii="Arial" w:hAnsi="Arial" w:cs="Arial"/>
          <w:lang w:val="en-US"/>
        </w:rPr>
      </w:pPr>
    </w:p>
    <w:p w14:paraId="3EDA2EA2" w14:textId="77777777" w:rsidR="00FA7C7D" w:rsidRPr="001B1E6B" w:rsidRDefault="00FA7C7D" w:rsidP="00FA7C7D">
      <w:pPr>
        <w:jc w:val="both"/>
        <w:rPr>
          <w:rFonts w:ascii="Arial" w:hAnsi="Arial" w:cs="Arial"/>
          <w:sz w:val="22"/>
          <w:szCs w:val="22"/>
          <w:lang w:val="en-US"/>
        </w:rPr>
      </w:pPr>
      <w:r w:rsidRPr="001B1E6B">
        <w:rPr>
          <w:rFonts w:ascii="Arial" w:hAnsi="Arial" w:cs="Arial"/>
          <w:sz w:val="22"/>
          <w:szCs w:val="22"/>
          <w:lang w:val="en-US"/>
        </w:rPr>
        <w:t>* Schizophrenia, bipolar disorder for which patient has been hospitalized or medicated, depersonalization and/or derealization disorder, cerebellar dysfunction, epilepsy, psychosis or acute confusional state.</w:t>
      </w:r>
    </w:p>
    <w:p w14:paraId="533BCFCC" w14:textId="77777777" w:rsidR="00FA7C7D" w:rsidRPr="001B1E6B" w:rsidRDefault="00FA7C7D" w:rsidP="00FA7C7D">
      <w:pPr>
        <w:jc w:val="both"/>
        <w:rPr>
          <w:rFonts w:ascii="Arial" w:hAnsi="Arial" w:cs="Arial"/>
          <w:sz w:val="22"/>
          <w:szCs w:val="22"/>
          <w:lang w:val="en-US"/>
        </w:rPr>
      </w:pPr>
    </w:p>
    <w:p w14:paraId="389FA1DF" w14:textId="77777777" w:rsidR="00FA7C7D" w:rsidRPr="001B1E6B" w:rsidRDefault="00FA7C7D" w:rsidP="00FA7C7D">
      <w:pPr>
        <w:jc w:val="both"/>
        <w:rPr>
          <w:rFonts w:ascii="Arial" w:hAnsi="Arial" w:cs="Arial"/>
          <w:sz w:val="22"/>
          <w:szCs w:val="22"/>
          <w:lang w:val="en-US"/>
        </w:rPr>
      </w:pPr>
      <w:r w:rsidRPr="001B1E6B">
        <w:rPr>
          <w:rFonts w:ascii="Arial" w:hAnsi="Arial" w:cs="Arial"/>
          <w:sz w:val="22"/>
          <w:szCs w:val="22"/>
          <w:lang w:val="en-US"/>
        </w:rPr>
        <w:t xml:space="preserve">** Borderline QTc interval (&gt;430 </w:t>
      </w:r>
      <w:proofErr w:type="spellStart"/>
      <w:r w:rsidRPr="001B1E6B">
        <w:rPr>
          <w:rFonts w:ascii="Arial" w:hAnsi="Arial" w:cs="Arial"/>
          <w:sz w:val="22"/>
          <w:szCs w:val="22"/>
          <w:lang w:val="en-US"/>
        </w:rPr>
        <w:t>ms</w:t>
      </w:r>
      <w:proofErr w:type="spellEnd"/>
      <w:r w:rsidRPr="001B1E6B">
        <w:rPr>
          <w:rFonts w:ascii="Arial" w:hAnsi="Arial" w:cs="Arial"/>
          <w:sz w:val="22"/>
          <w:szCs w:val="22"/>
          <w:lang w:val="en-US"/>
        </w:rPr>
        <w:t xml:space="preserve"> for males and &gt;450 </w:t>
      </w:r>
      <w:proofErr w:type="spellStart"/>
      <w:r w:rsidRPr="001B1E6B">
        <w:rPr>
          <w:rFonts w:ascii="Arial" w:hAnsi="Arial" w:cs="Arial"/>
          <w:sz w:val="22"/>
          <w:szCs w:val="22"/>
          <w:lang w:val="en-US"/>
        </w:rPr>
        <w:t>ms</w:t>
      </w:r>
      <w:proofErr w:type="spellEnd"/>
      <w:r w:rsidRPr="001B1E6B">
        <w:rPr>
          <w:rFonts w:ascii="Arial" w:hAnsi="Arial" w:cs="Arial"/>
          <w:sz w:val="22"/>
          <w:szCs w:val="22"/>
          <w:lang w:val="en-US"/>
        </w:rPr>
        <w:t xml:space="preserve"> for females), arrhythmias, childhood congenital heart defects, heart attack, murmur, family history of heart attack/sudden cardiac death before 50 years of age, major heart/vascular/pulmonary surgery i.e. transplant, Coronary Artery Bypass Grafting, artificial heart valves, childhood Coronary Heart Disease, surgeries, internal or external pacemaker, history of blood clots, abnormal Heart Rate/Rhythm (resting heart rate of ≥120 beats per minute or higher or ≤50 beats per minute), high/low blood pressure (170/105 or higher or 90/60 or lower, while not taking blood pressure medication)</w:t>
      </w:r>
    </w:p>
    <w:p w14:paraId="5F11BCE7" w14:textId="77777777" w:rsidR="00FA7C7D" w:rsidRPr="001B1E6B" w:rsidRDefault="00FA7C7D" w:rsidP="00FA7C7D">
      <w:pPr>
        <w:jc w:val="both"/>
        <w:rPr>
          <w:rFonts w:ascii="Arial" w:hAnsi="Arial" w:cs="Arial"/>
          <w:sz w:val="22"/>
          <w:szCs w:val="22"/>
          <w:lang w:val="en-US"/>
        </w:rPr>
      </w:pPr>
    </w:p>
    <w:p w14:paraId="4688E267" w14:textId="77777777" w:rsidR="00FA7C7D" w:rsidRPr="001B1E6B" w:rsidRDefault="00FA7C7D" w:rsidP="00FA7C7D">
      <w:pPr>
        <w:jc w:val="both"/>
        <w:rPr>
          <w:rFonts w:ascii="Arial" w:hAnsi="Arial" w:cs="Arial"/>
          <w:sz w:val="22"/>
          <w:szCs w:val="22"/>
          <w:lang w:val="en-US"/>
        </w:rPr>
      </w:pPr>
      <w:r w:rsidRPr="001B1E6B">
        <w:rPr>
          <w:rFonts w:ascii="Arial" w:hAnsi="Arial" w:cs="Arial"/>
          <w:sz w:val="22"/>
          <w:szCs w:val="22"/>
          <w:lang w:val="en-US"/>
        </w:rPr>
        <w:t xml:space="preserve">*** No accessible veins for IV port access, irregular thyroid, sleep apnea, abnormal CMC/CMP, constipation or impaction, obesity, eating disorders, malnutrition, Crohn’s disease, irritable bowel syndrome, </w:t>
      </w:r>
      <w:proofErr w:type="spellStart"/>
      <w:r w:rsidRPr="001B1E6B">
        <w:rPr>
          <w:rFonts w:ascii="Arial" w:hAnsi="Arial" w:cs="Arial"/>
          <w:sz w:val="22"/>
          <w:szCs w:val="22"/>
          <w:lang w:val="en-US"/>
        </w:rPr>
        <w:t>biverticulosis</w:t>
      </w:r>
      <w:proofErr w:type="spellEnd"/>
      <w:r w:rsidRPr="001B1E6B">
        <w:rPr>
          <w:rFonts w:ascii="Arial" w:hAnsi="Arial" w:cs="Arial"/>
          <w:sz w:val="22"/>
          <w:szCs w:val="22"/>
          <w:lang w:val="en-US"/>
        </w:rPr>
        <w:t xml:space="preserve">, </w:t>
      </w:r>
      <w:proofErr w:type="spellStart"/>
      <w:r w:rsidRPr="001B1E6B">
        <w:rPr>
          <w:rFonts w:ascii="Arial" w:hAnsi="Arial" w:cs="Arial"/>
          <w:sz w:val="22"/>
          <w:szCs w:val="22"/>
          <w:lang w:val="en-US"/>
        </w:rPr>
        <w:t>biverticulitis</w:t>
      </w:r>
      <w:proofErr w:type="spellEnd"/>
      <w:r w:rsidRPr="001B1E6B">
        <w:rPr>
          <w:rFonts w:ascii="Arial" w:hAnsi="Arial" w:cs="Arial"/>
          <w:sz w:val="22"/>
          <w:szCs w:val="22"/>
          <w:lang w:val="en-US"/>
        </w:rPr>
        <w:t>, chronic infectious diseases, overdose history, history of head trauma</w:t>
      </w:r>
    </w:p>
    <w:p w14:paraId="0C626642" w14:textId="77777777" w:rsidR="00FA7C7D" w:rsidRPr="001B1E6B" w:rsidRDefault="00FA7C7D" w:rsidP="00FA7C7D">
      <w:pPr>
        <w:jc w:val="both"/>
        <w:rPr>
          <w:rFonts w:ascii="Arial" w:hAnsi="Arial" w:cs="Arial"/>
          <w:lang w:val="en-US"/>
        </w:rPr>
      </w:pPr>
    </w:p>
    <w:p w14:paraId="35F9A77A" w14:textId="77777777" w:rsidR="00FA7C7D" w:rsidRPr="001B1E6B" w:rsidRDefault="00FA7C7D" w:rsidP="00FA7C7D">
      <w:pPr>
        <w:jc w:val="both"/>
        <w:rPr>
          <w:rFonts w:ascii="Arial" w:hAnsi="Arial" w:cs="Arial"/>
          <w:lang w:val="en-US"/>
        </w:rPr>
      </w:pPr>
    </w:p>
    <w:p w14:paraId="0A752697" w14:textId="459AC152" w:rsidR="00A91650" w:rsidRDefault="00FA7C7D" w:rsidP="00FA7C7D">
      <w:r w:rsidRPr="001B1E6B">
        <w:rPr>
          <w:rFonts w:ascii="Arial" w:hAnsi="Arial" w:cs="Arial"/>
          <w:b/>
          <w:bCs/>
          <w:lang w:val="en-US"/>
        </w:rPr>
        <w:br w:type="column"/>
      </w:r>
    </w:p>
    <w:sectPr w:rsidR="00A91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6A8"/>
    <w:multiLevelType w:val="multilevel"/>
    <w:tmpl w:val="C128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D6E66"/>
    <w:multiLevelType w:val="multilevel"/>
    <w:tmpl w:val="268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53D"/>
    <w:multiLevelType w:val="multilevel"/>
    <w:tmpl w:val="A96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4335"/>
    <w:multiLevelType w:val="multilevel"/>
    <w:tmpl w:val="0DF0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A9A"/>
    <w:multiLevelType w:val="multilevel"/>
    <w:tmpl w:val="CFA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B5C2F"/>
    <w:multiLevelType w:val="multilevel"/>
    <w:tmpl w:val="9D06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50B9F"/>
    <w:multiLevelType w:val="multilevel"/>
    <w:tmpl w:val="2200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354FA"/>
    <w:multiLevelType w:val="multilevel"/>
    <w:tmpl w:val="8E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8370B"/>
    <w:multiLevelType w:val="multilevel"/>
    <w:tmpl w:val="D64A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D12A1"/>
    <w:multiLevelType w:val="multilevel"/>
    <w:tmpl w:val="B5D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815427">
    <w:abstractNumId w:val="2"/>
  </w:num>
  <w:num w:numId="2" w16cid:durableId="62262198">
    <w:abstractNumId w:val="9"/>
  </w:num>
  <w:num w:numId="3" w16cid:durableId="1528984117">
    <w:abstractNumId w:val="8"/>
  </w:num>
  <w:num w:numId="4" w16cid:durableId="1291866075">
    <w:abstractNumId w:val="4"/>
  </w:num>
  <w:num w:numId="5" w16cid:durableId="1550191277">
    <w:abstractNumId w:val="6"/>
  </w:num>
  <w:num w:numId="6" w16cid:durableId="461076462">
    <w:abstractNumId w:val="7"/>
  </w:num>
  <w:num w:numId="7" w16cid:durableId="1682316292">
    <w:abstractNumId w:val="5"/>
  </w:num>
  <w:num w:numId="8" w16cid:durableId="1021971233">
    <w:abstractNumId w:val="1"/>
  </w:num>
  <w:num w:numId="9" w16cid:durableId="1207837768">
    <w:abstractNumId w:val="3"/>
  </w:num>
  <w:num w:numId="10" w16cid:durableId="19216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7D"/>
    <w:rsid w:val="000E2EDD"/>
    <w:rsid w:val="009C1531"/>
    <w:rsid w:val="00A91650"/>
    <w:rsid w:val="00E559FE"/>
    <w:rsid w:val="00E633FC"/>
    <w:rsid w:val="00FA7C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6AE0"/>
  <w15:chartTrackingRefBased/>
  <w15:docId w15:val="{ADDEA229-5C48-4725-B340-BE3118DC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7D"/>
    <w:pPr>
      <w:spacing w:after="0" w:line="240" w:lineRule="auto"/>
    </w:pPr>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FA7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C7D"/>
    <w:rPr>
      <w:rFonts w:eastAsiaTheme="majorEastAsia" w:cstheme="majorBidi"/>
      <w:color w:val="272727" w:themeColor="text1" w:themeTint="D8"/>
    </w:rPr>
  </w:style>
  <w:style w:type="paragraph" w:styleId="Title">
    <w:name w:val="Title"/>
    <w:basedOn w:val="Normal"/>
    <w:next w:val="Normal"/>
    <w:link w:val="TitleChar"/>
    <w:uiPriority w:val="10"/>
    <w:qFormat/>
    <w:rsid w:val="00FA7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C7D"/>
    <w:pPr>
      <w:spacing w:before="160"/>
      <w:jc w:val="center"/>
    </w:pPr>
    <w:rPr>
      <w:i/>
      <w:iCs/>
      <w:color w:val="404040" w:themeColor="text1" w:themeTint="BF"/>
    </w:rPr>
  </w:style>
  <w:style w:type="character" w:customStyle="1" w:styleId="QuoteChar">
    <w:name w:val="Quote Char"/>
    <w:basedOn w:val="DefaultParagraphFont"/>
    <w:link w:val="Quote"/>
    <w:uiPriority w:val="29"/>
    <w:rsid w:val="00FA7C7D"/>
    <w:rPr>
      <w:i/>
      <w:iCs/>
      <w:color w:val="404040" w:themeColor="text1" w:themeTint="BF"/>
    </w:rPr>
  </w:style>
  <w:style w:type="paragraph" w:styleId="ListParagraph">
    <w:name w:val="List Paragraph"/>
    <w:basedOn w:val="Normal"/>
    <w:uiPriority w:val="34"/>
    <w:qFormat/>
    <w:rsid w:val="00FA7C7D"/>
    <w:pPr>
      <w:ind w:left="720"/>
      <w:contextualSpacing/>
    </w:pPr>
  </w:style>
  <w:style w:type="character" w:styleId="IntenseEmphasis">
    <w:name w:val="Intense Emphasis"/>
    <w:basedOn w:val="DefaultParagraphFont"/>
    <w:uiPriority w:val="21"/>
    <w:qFormat/>
    <w:rsid w:val="00FA7C7D"/>
    <w:rPr>
      <w:i/>
      <w:iCs/>
      <w:color w:val="0F4761" w:themeColor="accent1" w:themeShade="BF"/>
    </w:rPr>
  </w:style>
  <w:style w:type="paragraph" w:styleId="IntenseQuote">
    <w:name w:val="Intense Quote"/>
    <w:basedOn w:val="Normal"/>
    <w:next w:val="Normal"/>
    <w:link w:val="IntenseQuoteChar"/>
    <w:uiPriority w:val="30"/>
    <w:qFormat/>
    <w:rsid w:val="00FA7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C7D"/>
    <w:rPr>
      <w:i/>
      <w:iCs/>
      <w:color w:val="0F4761" w:themeColor="accent1" w:themeShade="BF"/>
    </w:rPr>
  </w:style>
  <w:style w:type="character" w:styleId="IntenseReference">
    <w:name w:val="Intense Reference"/>
    <w:basedOn w:val="DefaultParagraphFont"/>
    <w:uiPriority w:val="32"/>
    <w:qFormat/>
    <w:rsid w:val="00FA7C7D"/>
    <w:rPr>
      <w:b/>
      <w:bCs/>
      <w:smallCaps/>
      <w:color w:val="0F4761" w:themeColor="accent1" w:themeShade="BF"/>
      <w:spacing w:val="5"/>
    </w:rPr>
  </w:style>
  <w:style w:type="table" w:styleId="TableGrid">
    <w:name w:val="Table Grid"/>
    <w:basedOn w:val="TableNormal"/>
    <w:uiPriority w:val="39"/>
    <w:rsid w:val="00FA7C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BFEF5DF184A5D9C9E2434BBE00F0B"/>
        <w:category>
          <w:name w:val="General"/>
          <w:gallery w:val="placeholder"/>
        </w:category>
        <w:types>
          <w:type w:val="bbPlcHdr"/>
        </w:types>
        <w:behaviors>
          <w:behavior w:val="content"/>
        </w:behaviors>
        <w:guid w:val="{4B1A81D8-4083-4860-98AC-363634848844}"/>
      </w:docPartPr>
      <w:docPartBody>
        <w:p w:rsidR="00CF748E" w:rsidRDefault="00FF0A02" w:rsidP="00FF0A02">
          <w:pPr>
            <w:pStyle w:val="37DBFEF5DF184A5D9C9E2434BBE00F0B"/>
          </w:pPr>
          <w:r w:rsidRPr="00C653A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02"/>
    <w:rsid w:val="009C1531"/>
    <w:rsid w:val="00CF748E"/>
    <w:rsid w:val="00FF0A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A02"/>
    <w:rPr>
      <w:color w:val="666666"/>
    </w:rPr>
  </w:style>
  <w:style w:type="paragraph" w:customStyle="1" w:styleId="37DBFEF5DF184A5D9C9E2434BBE00F0B">
    <w:name w:val="37DBFEF5DF184A5D9C9E2434BBE00F0B"/>
    <w:rsid w:val="00FF0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2026-06-17T09:05:00Z</dcterms:created>
  <dcterms:modified xsi:type="dcterms:W3CDTF">2026-06-17T09:06:00Z</dcterms:modified>
</cp:coreProperties>
</file>